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outlineLvl w:val="9"/>
        <w:rPr>
          <w:rFonts w:hint="eastAsia" w:ascii="仿宋_GB2312" w:hAnsi="仿宋_GB2312" w:eastAsia="仿宋_GB2312" w:cs="仿宋_GB2312"/>
          <w:b/>
          <w:bCs/>
          <w:sz w:val="32"/>
          <w:szCs w:val="32"/>
          <w:lang w:val="en-US" w:eastAsia="zh-CN"/>
        </w:rPr>
      </w:pPr>
    </w:p>
    <w:p>
      <w:pPr>
        <w:snapToGrid w:val="0"/>
        <w:jc w:val="both"/>
        <w:rPr>
          <w:rFonts w:hint="eastAsia" w:ascii="仿宋_GB2312" w:hAnsi="仿宋_GB2312" w:eastAsia="仿宋_GB2312" w:cs="仿宋_GB2312"/>
          <w:b/>
          <w:bCs/>
          <w:sz w:val="32"/>
          <w:szCs w:val="32"/>
          <w:lang w:val="en-US" w:eastAsia="zh-CN"/>
        </w:rPr>
      </w:pPr>
    </w:p>
    <w:p>
      <w:pPr>
        <w:widowControl/>
        <w:jc w:val="center"/>
        <w:rPr>
          <w:rFonts w:hint="eastAsia" w:ascii="黑体" w:hAnsi="黑体" w:eastAsia="黑体" w:cs="黑体"/>
          <w:b/>
          <w:color w:val="000000"/>
          <w:kern w:val="0"/>
          <w:sz w:val="96"/>
          <w:szCs w:val="96"/>
          <w:lang w:val="en-US" w:eastAsia="zh-CN"/>
        </w:rPr>
      </w:pPr>
      <w:r>
        <w:rPr>
          <w:rFonts w:hint="eastAsia" w:ascii="黑体" w:hAnsi="黑体" w:eastAsia="黑体" w:cs="黑体"/>
          <w:b/>
          <w:color w:val="000000"/>
          <w:kern w:val="0"/>
          <w:sz w:val="96"/>
          <w:szCs w:val="96"/>
          <w:lang w:val="en-US" w:eastAsia="zh-CN"/>
        </w:rPr>
        <w:t>医 保 政 策 汇 编</w:t>
      </w:r>
    </w:p>
    <w:p>
      <w:pPr>
        <w:snapToGrid w:val="0"/>
        <w:jc w:val="center"/>
        <w:rPr>
          <w:rFonts w:hint="eastAsia" w:ascii="黑体" w:hAnsi="黑体" w:eastAsia="黑体" w:cs="黑体"/>
          <w:b w:val="0"/>
          <w:bCs/>
          <w:color w:val="000000"/>
          <w:kern w:val="0"/>
          <w:sz w:val="48"/>
          <w:szCs w:val="48"/>
        </w:rPr>
      </w:pPr>
    </w:p>
    <w:p>
      <w:pPr>
        <w:snapToGrid w:val="0"/>
        <w:jc w:val="center"/>
        <w:rPr>
          <w:rFonts w:hint="eastAsia" w:ascii="黑体" w:hAnsi="黑体" w:eastAsia="黑体" w:cs="黑体"/>
          <w:b/>
          <w:bCs/>
          <w:sz w:val="48"/>
          <w:szCs w:val="48"/>
          <w:lang w:val="en-US" w:eastAsia="zh-CN"/>
        </w:rPr>
      </w:pPr>
      <w:r>
        <w:rPr>
          <w:rFonts w:hint="eastAsia" w:ascii="黑体" w:hAnsi="黑体" w:eastAsia="黑体" w:cs="黑体"/>
          <w:b w:val="0"/>
          <w:bCs/>
          <w:color w:val="000000"/>
          <w:kern w:val="0"/>
          <w:sz w:val="48"/>
          <w:szCs w:val="48"/>
        </w:rPr>
        <w:t>（202</w:t>
      </w:r>
      <w:r>
        <w:rPr>
          <w:rFonts w:hint="eastAsia" w:ascii="黑体" w:hAnsi="黑体" w:eastAsia="黑体" w:cs="黑体"/>
          <w:b w:val="0"/>
          <w:bCs/>
          <w:color w:val="000000"/>
          <w:kern w:val="0"/>
          <w:sz w:val="48"/>
          <w:szCs w:val="48"/>
          <w:lang w:val="en-US" w:eastAsia="zh-CN"/>
        </w:rPr>
        <w:t>4</w:t>
      </w:r>
      <w:r>
        <w:rPr>
          <w:rFonts w:hint="eastAsia" w:ascii="黑体" w:hAnsi="黑体" w:eastAsia="黑体" w:cs="黑体"/>
          <w:b w:val="0"/>
          <w:bCs/>
          <w:color w:val="000000"/>
          <w:kern w:val="0"/>
          <w:sz w:val="48"/>
          <w:szCs w:val="48"/>
        </w:rPr>
        <w:t>年版）</w:t>
      </w:r>
    </w:p>
    <w:p>
      <w:pPr>
        <w:snapToGrid w:val="0"/>
        <w:jc w:val="center"/>
        <w:rPr>
          <w:rFonts w:ascii="华文中宋" w:hAnsi="华文中宋" w:eastAsia="华文中宋"/>
          <w:sz w:val="36"/>
          <w:szCs w:val="36"/>
        </w:rPr>
      </w:pPr>
    </w:p>
    <w:p>
      <w:pPr>
        <w:snapToGrid w:val="0"/>
        <w:jc w:val="center"/>
        <w:rPr>
          <w:rFonts w:ascii="华文中宋" w:hAnsi="华文中宋" w:eastAsia="华文中宋"/>
          <w:sz w:val="36"/>
          <w:szCs w:val="36"/>
        </w:rPr>
      </w:pPr>
    </w:p>
    <w:p>
      <w:pPr>
        <w:snapToGrid w:val="0"/>
        <w:jc w:val="center"/>
        <w:rPr>
          <w:rFonts w:ascii="华文中宋" w:hAnsi="华文中宋" w:eastAsia="华文中宋"/>
          <w:sz w:val="36"/>
          <w:szCs w:val="36"/>
        </w:rPr>
      </w:pPr>
      <w:r>
        <w:rPr>
          <w:rFonts w:ascii="华文中宋" w:hAnsi="华文中宋" w:eastAsia="华文中宋" w:cs="黑体"/>
          <w:kern w:val="2"/>
          <w:sz w:val="36"/>
          <w:szCs w:val="36"/>
          <w:lang w:val="en-US" w:eastAsia="zh-CN" w:bidi="ar-SA"/>
        </w:rPr>
        <w:pict>
          <v:shape id="_x0000_i1025" o:spt="75" type="#_x0000_t75" style="height:150.75pt;width:139.55pt;" fillcolor="#FFFFFF" filled="f" o:preferrelative="t" stroked="f" coordsize="21600,21600">
            <v:path/>
            <v:fill on="f" color2="#FFFFFF" focussize="0,0"/>
            <v:stroke on="f"/>
            <v:imagedata r:id="rId15" cropleft="17302f" croptop="8163f" cropright="16592f" cropbottom="33266f" gain="65536f" blacklevel="0f" gamma="0" o:title=""/>
            <o:lock v:ext="edit" position="f" selection="f" grouping="f" rotation="f" cropping="f" text="f" aspectratio="t"/>
            <w10:wrap type="none"/>
            <w10:anchorlock/>
          </v:shape>
        </w:pict>
      </w:r>
    </w:p>
    <w:p>
      <w:pPr>
        <w:jc w:val="center"/>
        <w:outlineLvl w:val="9"/>
        <w:rPr>
          <w:rFonts w:hint="eastAsia" w:ascii="黑体" w:hAnsi="黑体" w:eastAsia="黑体" w:cs="黑体"/>
          <w:sz w:val="32"/>
          <w:szCs w:val="32"/>
          <w:lang w:eastAsia="zh-CN"/>
        </w:rPr>
      </w:pPr>
      <w:bookmarkStart w:id="0" w:name="_Toc17874"/>
      <w:bookmarkStart w:id="1" w:name="_Toc7374"/>
    </w:p>
    <w:p>
      <w:pPr>
        <w:pStyle w:val="9"/>
        <w:rPr>
          <w:rFonts w:hint="eastAsia" w:ascii="黑体" w:hAnsi="黑体" w:eastAsia="黑体" w:cs="黑体"/>
          <w:sz w:val="32"/>
          <w:szCs w:val="32"/>
          <w:lang w:eastAsia="zh-CN"/>
        </w:rPr>
      </w:pPr>
    </w:p>
    <w:p>
      <w:pPr>
        <w:pStyle w:val="9"/>
        <w:rPr>
          <w:rFonts w:hint="eastAsia" w:ascii="黑体" w:hAnsi="黑体" w:eastAsia="黑体" w:cs="黑体"/>
          <w:sz w:val="32"/>
          <w:szCs w:val="32"/>
          <w:lang w:eastAsia="zh-CN"/>
        </w:rPr>
      </w:pPr>
    </w:p>
    <w:p>
      <w:pPr>
        <w:pStyle w:val="9"/>
        <w:rPr>
          <w:rFonts w:hint="eastAsia" w:ascii="黑体" w:hAnsi="黑体" w:eastAsia="黑体" w:cs="黑体"/>
          <w:sz w:val="48"/>
          <w:szCs w:val="48"/>
          <w:lang w:eastAsia="zh-CN"/>
        </w:rPr>
      </w:pPr>
    </w:p>
    <w:bookmarkEnd w:id="0"/>
    <w:bookmarkEnd w:id="1"/>
    <w:p>
      <w:pPr>
        <w:widowControl w:val="0"/>
        <w:wordWrap/>
        <w:adjustRightInd/>
        <w:snapToGrid/>
        <w:spacing w:line="48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滨州市人民医院</w:t>
      </w:r>
    </w:p>
    <w:p>
      <w:pPr>
        <w:widowControl w:val="0"/>
        <w:wordWrap/>
        <w:adjustRightInd/>
        <w:snapToGrid/>
        <w:spacing w:line="480" w:lineRule="auto"/>
        <w:jc w:val="center"/>
        <w:textAlignment w:val="auto"/>
        <w:rPr>
          <w:rFonts w:hint="eastAsia" w:ascii="黑体" w:hAnsi="黑体" w:cs="黑体"/>
          <w:sz w:val="36"/>
          <w:szCs w:val="36"/>
          <w:lang w:eastAsia="zh-CN"/>
        </w:rPr>
      </w:pPr>
      <w:r>
        <w:rPr>
          <w:rFonts w:hint="eastAsia" w:ascii="黑体" w:hAnsi="黑体" w:eastAsia="黑体" w:cs="黑体"/>
          <w:sz w:val="36"/>
          <w:szCs w:val="36"/>
          <w:lang w:eastAsia="zh-CN"/>
        </w:rPr>
        <w:t>二○二</w:t>
      </w:r>
      <w:r>
        <w:rPr>
          <w:rFonts w:hint="eastAsia" w:ascii="黑体" w:hAnsi="黑体" w:eastAsia="黑体" w:cs="黑体"/>
          <w:sz w:val="36"/>
          <w:szCs w:val="36"/>
          <w:lang w:val="en-US" w:eastAsia="zh-CN"/>
        </w:rPr>
        <w:t>四</w:t>
      </w:r>
      <w:r>
        <w:rPr>
          <w:rFonts w:hint="eastAsia" w:ascii="黑体" w:hAnsi="黑体" w:eastAsia="黑体" w:cs="黑体"/>
          <w:sz w:val="36"/>
          <w:szCs w:val="36"/>
          <w:lang w:eastAsia="zh-CN"/>
        </w:rPr>
        <w:t>年</w:t>
      </w:r>
      <w:r>
        <w:rPr>
          <w:rFonts w:hint="eastAsia" w:ascii="黑体" w:hAnsi="黑体" w:eastAsia="黑体" w:cs="黑体"/>
          <w:sz w:val="36"/>
          <w:szCs w:val="36"/>
          <w:lang w:val="en-US" w:eastAsia="zh-CN"/>
        </w:rPr>
        <w:t>六</w:t>
      </w:r>
      <w:r>
        <w:rPr>
          <w:rFonts w:hint="eastAsia" w:ascii="黑体" w:hAnsi="黑体" w:eastAsia="黑体" w:cs="黑体"/>
          <w:sz w:val="36"/>
          <w:szCs w:val="36"/>
          <w:lang w:eastAsia="zh-CN"/>
        </w:rPr>
        <w:t>月</w:t>
      </w:r>
    </w:p>
    <w:p>
      <w:pPr>
        <w:pStyle w:val="9"/>
        <w:rPr>
          <w:rFonts w:hint="eastAsia"/>
          <w:lang w:val="en-US" w:eastAsia="zh-CN"/>
        </w:rPr>
      </w:pPr>
    </w:p>
    <w:p>
      <w:pPr>
        <w:snapToGrid w:val="0"/>
        <w:jc w:val="center"/>
        <w:rPr>
          <w:rFonts w:hint="eastAsia" w:ascii="仿宋_GB2312" w:hAnsi="仿宋_GB2312" w:eastAsia="仿宋_GB2312" w:cs="仿宋_GB2312"/>
          <w:b/>
          <w:bCs/>
          <w:sz w:val="32"/>
          <w:szCs w:val="32"/>
          <w:lang w:val="en-US" w:eastAsia="zh-CN"/>
        </w:rPr>
      </w:pPr>
    </w:p>
    <w:p>
      <w:pPr>
        <w:snapToGrid w:val="0"/>
        <w:jc w:val="center"/>
        <w:rPr>
          <w:rFonts w:hint="eastAsia" w:ascii="仿宋_GB2312" w:hAnsi="仿宋_GB2312" w:eastAsia="仿宋_GB2312" w:cs="仿宋_GB2312"/>
          <w:b/>
          <w:bCs/>
          <w:sz w:val="32"/>
          <w:szCs w:val="32"/>
          <w:lang w:val="en-US" w:eastAsia="zh-CN"/>
        </w:rPr>
      </w:pPr>
    </w:p>
    <w:p>
      <w:pPr>
        <w:snapToGrid w:val="0"/>
        <w:jc w:val="center"/>
        <w:rPr>
          <w:rFonts w:hint="eastAsia" w:ascii="仿宋_GB2312" w:hAnsi="仿宋_GB2312" w:eastAsia="仿宋_GB2312" w:cs="仿宋_GB2312"/>
          <w:b/>
          <w:bCs/>
          <w:sz w:val="32"/>
          <w:szCs w:val="32"/>
          <w:lang w:val="en-US" w:eastAsia="zh-CN"/>
        </w:rPr>
      </w:pPr>
    </w:p>
    <w:p>
      <w:pPr>
        <w:snapToGrid w:val="0"/>
        <w:jc w:val="center"/>
        <w:rPr>
          <w:rFonts w:hint="eastAsia" w:ascii="仿宋_GB2312" w:hAnsi="仿宋_GB2312" w:eastAsia="仿宋_GB2312" w:cs="仿宋_GB2312"/>
          <w:b/>
          <w:bCs/>
          <w:sz w:val="32"/>
          <w:szCs w:val="32"/>
          <w:lang w:val="en-US" w:eastAsia="zh-CN"/>
        </w:rPr>
      </w:pPr>
    </w:p>
    <w:p>
      <w:pPr>
        <w:snapToGrid w:val="0"/>
        <w:jc w:val="center"/>
        <w:rPr>
          <w:rFonts w:hint="eastAsia" w:ascii="仿宋_GB2312" w:hAnsi="仿宋_GB2312" w:eastAsia="仿宋_GB2312" w:cs="仿宋_GB2312"/>
          <w:b/>
          <w:bCs/>
          <w:sz w:val="32"/>
          <w:szCs w:val="32"/>
          <w:lang w:val="en-US" w:eastAsia="zh-CN"/>
        </w:rPr>
      </w:pPr>
    </w:p>
    <w:p>
      <w:pPr>
        <w:spacing w:before="0" w:beforeLines="0" w:after="0" w:afterLines="0" w:line="240" w:lineRule="auto"/>
        <w:ind w:left="0" w:leftChars="0" w:right="0" w:firstLine="0" w:firstLineChars="0"/>
        <w:jc w:val="both"/>
        <w:rPr>
          <w:rFonts w:hint="eastAsia" w:ascii="微软雅黑" w:hAnsi="微软雅黑" w:eastAsia="微软雅黑" w:cs="微软雅黑"/>
          <w:sz w:val="30"/>
          <w:szCs w:val="30"/>
        </w:rPr>
        <w:sectPr>
          <w:footerReference r:id="rId3" w:type="default"/>
          <w:pgSz w:w="11906" w:h="16838"/>
          <w:pgMar w:top="1134" w:right="1134" w:bottom="1134" w:left="1134" w:header="0" w:footer="0" w:gutter="0"/>
          <w:pgBorders>
            <w:top w:val="none" w:sz="0" w:space="0"/>
            <w:left w:val="none" w:sz="0" w:space="0"/>
            <w:bottom w:val="none" w:sz="0" w:space="0"/>
            <w:right w:val="none" w:sz="0" w:space="0"/>
          </w:pgBorders>
          <w:pgNumType w:fmt="decimal" w:start="1"/>
          <w:cols w:space="720" w:num="1"/>
        </w:sectPr>
      </w:pPr>
    </w:p>
    <w:p>
      <w:pPr>
        <w:pStyle w:val="9"/>
        <w:rPr>
          <w:rFonts w:hint="eastAsia" w:ascii="等线" w:hAnsi="等线" w:eastAsia="等线" w:cs="等线"/>
          <w:sz w:val="36"/>
          <w:szCs w:val="36"/>
        </w:rPr>
      </w:pPr>
    </w:p>
    <w:p>
      <w:pPr>
        <w:pStyle w:val="12"/>
        <w:jc w:val="center"/>
        <w:rPr>
          <w:rFonts w:hint="eastAsia" w:ascii="宋体" w:hAnsi="宋体" w:eastAsia="宋体" w:cs="宋体"/>
          <w:b/>
          <w:bCs/>
          <w:sz w:val="36"/>
          <w:szCs w:val="36"/>
        </w:rPr>
      </w:pPr>
      <w:r>
        <w:rPr>
          <w:rFonts w:hint="eastAsia" w:ascii="宋体" w:hAnsi="宋体" w:eastAsia="宋体" w:cs="宋体"/>
          <w:b/>
          <w:bCs/>
          <w:sz w:val="36"/>
          <w:szCs w:val="36"/>
        </w:rPr>
        <w:t>目录</w:t>
      </w:r>
    </w:p>
    <w:sdt>
      <w:sdtPr>
        <w:rPr>
          <w:rFonts w:ascii="宋体" w:hAnsi="宋体" w:eastAsia="宋体" w:cs="黑体"/>
          <w:kern w:val="2"/>
          <w:sz w:val="21"/>
          <w:szCs w:val="24"/>
          <w:lang w:val="en-US" w:eastAsia="zh-CN" w:bidi="ar-SA"/>
        </w:rPr>
        <w:id w:val="147454151"/>
        <w15:color w:val="DBDBDB"/>
        <w:docPartObj>
          <w:docPartGallery w:val="Table of Contents"/>
          <w:docPartUnique/>
        </w:docPartObj>
      </w:sdtPr>
      <w:sdtEndPr>
        <w:rPr>
          <w:rFonts w:ascii="宋体" w:hAnsi="宋体" w:eastAsia="宋体" w:cs="黑体"/>
          <w:b/>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rPr>
          </w:pPr>
          <w:r>
            <w:fldChar w:fldCharType="begin"/>
          </w:r>
          <w:r>
            <w:instrText xml:space="preserve">TOC \o "1-2" \h \u </w:instrText>
          </w:r>
          <w:r>
            <w:fldChar w:fldCharType="separate"/>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rPr>
          </w:pPr>
          <w:r>
            <w:rPr>
              <w:b/>
            </w:rPr>
            <w:fldChar w:fldCharType="begin"/>
          </w:r>
          <w:r>
            <w:rPr>
              <w:b/>
            </w:rPr>
            <w:instrText xml:space="preserve"> HYPERLINK \l _Toc30620 </w:instrText>
          </w:r>
          <w:r>
            <w:rPr>
              <w:b/>
            </w:rPr>
            <w:fldChar w:fldCharType="separate"/>
          </w:r>
          <w:r>
            <w:rPr>
              <w:rStyle w:val="35"/>
              <w:rFonts w:hint="eastAsia"/>
              <w:lang w:val="en-US" w:eastAsia="zh-CN"/>
            </w:rPr>
            <w:t>第一部分 滨州市医保政策</w:t>
          </w:r>
          <w:r>
            <w:rPr>
              <w:b/>
            </w:rPr>
            <w:tab/>
          </w:r>
          <w:r>
            <w:rPr>
              <w:b/>
            </w:rPr>
            <w:fldChar w:fldCharType="begin"/>
          </w:r>
          <w:r>
            <w:rPr>
              <w:b/>
            </w:rPr>
            <w:instrText xml:space="preserve"> PAGEREF _Toc30620 \h </w:instrText>
          </w:r>
          <w:r>
            <w:rPr>
              <w:b/>
            </w:rPr>
            <w:fldChar w:fldCharType="separate"/>
          </w:r>
          <w:r>
            <w:rPr>
              <w:b/>
            </w:rPr>
            <w:t>2</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_Toc26759 </w:instrText>
          </w:r>
          <w:r>
            <w:rPr>
              <w:b/>
            </w:rPr>
            <w:fldChar w:fldCharType="separate"/>
          </w:r>
          <w:r>
            <w:rPr>
              <w:rStyle w:val="36"/>
              <w:rFonts w:hint="eastAsia"/>
              <w:lang w:eastAsia="zh-CN"/>
            </w:rPr>
            <w:t>第一章</w:t>
          </w:r>
          <w:r>
            <w:rPr>
              <w:rStyle w:val="36"/>
              <w:rFonts w:hint="eastAsia"/>
              <w:lang w:val="en-US" w:eastAsia="zh-CN"/>
            </w:rPr>
            <w:t xml:space="preserve"> </w:t>
          </w:r>
          <w:r>
            <w:rPr>
              <w:rStyle w:val="36"/>
              <w:rFonts w:hint="eastAsia"/>
            </w:rPr>
            <w:t>医保</w:t>
          </w:r>
          <w:r>
            <w:rPr>
              <w:rStyle w:val="36"/>
              <w:rFonts w:hint="eastAsia"/>
              <w:lang w:eastAsia="zh-CN"/>
            </w:rPr>
            <w:t>基本</w:t>
          </w:r>
          <w:r>
            <w:rPr>
              <w:rStyle w:val="36"/>
              <w:rFonts w:hint="eastAsia"/>
            </w:rPr>
            <w:t>政策</w:t>
          </w:r>
          <w:r>
            <w:rPr>
              <w:b/>
            </w:rPr>
            <w:tab/>
          </w:r>
          <w:r>
            <w:rPr>
              <w:b/>
            </w:rPr>
            <w:fldChar w:fldCharType="begin"/>
          </w:r>
          <w:r>
            <w:rPr>
              <w:b/>
            </w:rPr>
            <w:instrText xml:space="preserve"> PAGEREF _Toc26759 \h </w:instrText>
          </w:r>
          <w:r>
            <w:rPr>
              <w:b/>
            </w:rPr>
            <w:fldChar w:fldCharType="separate"/>
          </w:r>
          <w:r>
            <w:rPr>
              <w:b/>
            </w:rPr>
            <w:t>2</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pPr>
          <w:r>
            <w:rPr>
              <w:b/>
            </w:rPr>
            <w:fldChar w:fldCharType="begin"/>
          </w:r>
          <w:r>
            <w:rPr>
              <w:b/>
            </w:rPr>
            <w:instrText xml:space="preserve"> HYPERLINK \l _Toc258 </w:instrText>
          </w:r>
          <w:r>
            <w:rPr>
              <w:b/>
            </w:rPr>
            <w:fldChar w:fldCharType="separate"/>
          </w:r>
          <w:r>
            <w:rPr>
              <w:rStyle w:val="36"/>
              <w:rFonts w:hint="eastAsia"/>
              <w:lang w:eastAsia="zh-CN"/>
            </w:rPr>
            <w:t>第二章</w:t>
          </w:r>
          <w:r>
            <w:rPr>
              <w:rStyle w:val="36"/>
              <w:rFonts w:hint="eastAsia"/>
              <w:lang w:val="en-US" w:eastAsia="zh-CN"/>
            </w:rPr>
            <w:t xml:space="preserve"> </w:t>
          </w:r>
          <w:r>
            <w:rPr>
              <w:rStyle w:val="36"/>
              <w:rFonts w:hint="eastAsia"/>
              <w:lang w:eastAsia="zh-CN"/>
            </w:rPr>
            <w:t>门诊慢特病</w:t>
          </w:r>
          <w:r>
            <w:rPr>
              <w:rStyle w:val="36"/>
              <w:rFonts w:hint="eastAsia"/>
              <w:lang w:val="en-US" w:eastAsia="zh-CN"/>
            </w:rPr>
            <w:t>政策</w:t>
          </w:r>
          <w:r>
            <w:rPr>
              <w:b/>
            </w:rPr>
            <w:tab/>
          </w:r>
          <w:r>
            <w:rPr>
              <w:b/>
            </w:rPr>
            <w:fldChar w:fldCharType="begin"/>
          </w:r>
          <w:r>
            <w:rPr>
              <w:b/>
            </w:rPr>
            <w:instrText xml:space="preserve"> PAGEREF _Toc258 \h </w:instrText>
          </w:r>
          <w:r>
            <w:rPr>
              <w:b/>
            </w:rPr>
            <w:fldChar w:fldCharType="separate"/>
          </w:r>
          <w:r>
            <w:rPr>
              <w:b/>
            </w:rPr>
            <w:t>9</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_Toc17098 </w:instrText>
          </w:r>
          <w:r>
            <w:rPr>
              <w:b/>
            </w:rPr>
            <w:fldChar w:fldCharType="separate"/>
          </w:r>
          <w:r>
            <w:rPr>
              <w:rStyle w:val="36"/>
              <w:rFonts w:hint="eastAsia"/>
              <w:lang w:val="en-US" w:eastAsia="zh-CN"/>
            </w:rPr>
            <w:t>第三章 异地就医政策</w:t>
          </w:r>
          <w:r>
            <w:rPr>
              <w:b/>
            </w:rPr>
            <w:tab/>
          </w:r>
          <w:r>
            <w:rPr>
              <w:b/>
            </w:rPr>
            <w:fldChar w:fldCharType="begin"/>
          </w:r>
          <w:r>
            <w:rPr>
              <w:b/>
            </w:rPr>
            <w:instrText xml:space="preserve"> PAGEREF _Toc17098 \h </w:instrText>
          </w:r>
          <w:r>
            <w:rPr>
              <w:b/>
            </w:rPr>
            <w:fldChar w:fldCharType="separate"/>
          </w:r>
          <w:r>
            <w:rPr>
              <w:b/>
            </w:rPr>
            <w:t>28</w:t>
          </w:r>
          <w:r>
            <w:rPr>
              <w:b/>
            </w:rPr>
            <w:fldChar w:fldCharType="end"/>
          </w:r>
          <w:r>
            <w:rPr>
              <w:b/>
            </w:rPr>
            <w:fldChar w:fldCharType="end"/>
          </w:r>
        </w:p>
        <w:p>
          <w:pPr>
            <w:pStyle w:val="34"/>
            <w:keepNext w:val="0"/>
            <w:keepLines w:val="0"/>
            <w:pageBreakBefore w:val="0"/>
            <w:tabs>
              <w:tab w:val="right" w:leader="dot" w:pos="9072"/>
            </w:tabs>
            <w:kinsoku/>
            <w:wordWrap/>
            <w:overflowPunct/>
            <w:topLinePunct w:val="0"/>
            <w:autoSpaceDE/>
            <w:autoSpaceDN/>
            <w:bidi w:val="0"/>
            <w:adjustRightInd/>
            <w:snapToGrid/>
            <w:spacing w:line="360" w:lineRule="auto"/>
            <w:ind w:left="0" w:leftChars="0" w:firstLine="600" w:firstLineChars="300"/>
            <w:textAlignment w:val="auto"/>
          </w:pPr>
          <w:r>
            <w:fldChar w:fldCharType="begin"/>
          </w:r>
          <w:r>
            <w:instrText xml:space="preserve"> HYPERLINK \l _Toc22384 </w:instrText>
          </w:r>
          <w:r>
            <w:fldChar w:fldCharType="separate"/>
          </w:r>
          <w:r>
            <w:rPr>
              <w:rStyle w:val="36"/>
              <w:rFonts w:hint="eastAsia"/>
              <w:lang w:val="en-US" w:eastAsia="zh-CN"/>
            </w:rPr>
            <w:t>第四章 居民参保登记及参保待遇政策</w:t>
          </w:r>
          <w:r>
            <w:tab/>
          </w:r>
          <w:r>
            <w:fldChar w:fldCharType="begin"/>
          </w:r>
          <w:r>
            <w:instrText xml:space="preserve"> PAGEREF _Toc22384 \h </w:instrText>
          </w:r>
          <w:r>
            <w:fldChar w:fldCharType="separate"/>
          </w:r>
          <w:r>
            <w:t>29</w:t>
          </w:r>
          <w:r>
            <w:fldChar w:fldCharType="end"/>
          </w:r>
          <w: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_Toc25565 </w:instrText>
          </w:r>
          <w:r>
            <w:rPr>
              <w:b/>
            </w:rPr>
            <w:fldChar w:fldCharType="separate"/>
          </w:r>
          <w:r>
            <w:rPr>
              <w:rStyle w:val="36"/>
              <w:rFonts w:hint="eastAsia"/>
              <w:lang w:val="en-US" w:eastAsia="zh-CN"/>
            </w:rPr>
            <w:t xml:space="preserve">第五章 </w:t>
          </w:r>
          <w:r>
            <w:rPr>
              <w:rStyle w:val="36"/>
              <w:rFonts w:hint="eastAsia"/>
            </w:rPr>
            <w:t>生育保险</w:t>
          </w:r>
          <w:r>
            <w:rPr>
              <w:rStyle w:val="36"/>
              <w:rFonts w:hint="eastAsia"/>
              <w:lang w:val="en-US" w:eastAsia="zh-CN"/>
            </w:rPr>
            <w:t>政策</w:t>
          </w:r>
          <w:r>
            <w:rPr>
              <w:b/>
            </w:rPr>
            <w:tab/>
          </w:r>
          <w:r>
            <w:rPr>
              <w:b/>
            </w:rPr>
            <w:fldChar w:fldCharType="begin"/>
          </w:r>
          <w:r>
            <w:rPr>
              <w:b/>
            </w:rPr>
            <w:instrText xml:space="preserve"> PAGEREF _Toc25565 \h </w:instrText>
          </w:r>
          <w:r>
            <w:rPr>
              <w:b/>
            </w:rPr>
            <w:fldChar w:fldCharType="separate"/>
          </w:r>
          <w:r>
            <w:rPr>
              <w:b/>
            </w:rPr>
            <w:t>30</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_Toc24425 </w:instrText>
          </w:r>
          <w:r>
            <w:rPr>
              <w:b/>
            </w:rPr>
            <w:fldChar w:fldCharType="separate"/>
          </w:r>
          <w:r>
            <w:rPr>
              <w:rStyle w:val="36"/>
              <w:rFonts w:hint="eastAsia"/>
              <w:lang w:val="en-US" w:eastAsia="zh-CN"/>
            </w:rPr>
            <w:t xml:space="preserve">第六章 </w:t>
          </w:r>
          <w:r>
            <w:rPr>
              <w:rStyle w:val="36"/>
              <w:rFonts w:hint="eastAsia"/>
            </w:rPr>
            <w:t>双通道</w:t>
          </w:r>
          <w:r>
            <w:rPr>
              <w:rStyle w:val="36"/>
              <w:rFonts w:hint="eastAsia"/>
              <w:lang w:val="en-US" w:eastAsia="zh-CN"/>
            </w:rPr>
            <w:t>政策</w:t>
          </w:r>
          <w:r>
            <w:rPr>
              <w:b/>
            </w:rPr>
            <w:tab/>
          </w:r>
          <w:r>
            <w:rPr>
              <w:b/>
            </w:rPr>
            <w:fldChar w:fldCharType="begin"/>
          </w:r>
          <w:r>
            <w:rPr>
              <w:b/>
            </w:rPr>
            <w:instrText xml:space="preserve"> PAGEREF _Toc24425 \h </w:instrText>
          </w:r>
          <w:r>
            <w:rPr>
              <w:b/>
            </w:rPr>
            <w:fldChar w:fldCharType="separate"/>
          </w:r>
          <w:r>
            <w:rPr>
              <w:b/>
            </w:rPr>
            <w:t>31</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_Toc19069 </w:instrText>
          </w:r>
          <w:r>
            <w:rPr>
              <w:b/>
            </w:rPr>
            <w:fldChar w:fldCharType="separate"/>
          </w:r>
          <w:r>
            <w:rPr>
              <w:rStyle w:val="36"/>
              <w:rFonts w:hint="eastAsia"/>
              <w:lang w:val="en-US" w:eastAsia="zh-CN"/>
            </w:rPr>
            <w:t>第七章 扶贫人员政策</w:t>
          </w:r>
          <w:r>
            <w:rPr>
              <w:b/>
            </w:rPr>
            <w:tab/>
          </w:r>
          <w:r>
            <w:rPr>
              <w:b/>
            </w:rPr>
            <w:fldChar w:fldCharType="begin"/>
          </w:r>
          <w:r>
            <w:rPr>
              <w:b/>
            </w:rPr>
            <w:instrText xml:space="preserve"> PAGEREF _Toc19069 \h </w:instrText>
          </w:r>
          <w:r>
            <w:rPr>
              <w:b/>
            </w:rPr>
            <w:fldChar w:fldCharType="separate"/>
          </w:r>
          <w:r>
            <w:rPr>
              <w:b/>
            </w:rPr>
            <w:t>32</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_Toc28551 </w:instrText>
          </w:r>
          <w:r>
            <w:rPr>
              <w:b/>
            </w:rPr>
            <w:fldChar w:fldCharType="separate"/>
          </w:r>
          <w:r>
            <w:rPr>
              <w:rStyle w:val="36"/>
              <w:rFonts w:hint="eastAsia"/>
              <w:lang w:val="en-US" w:eastAsia="zh-CN"/>
            </w:rPr>
            <w:t>第八章 工会、医惠保政策</w:t>
          </w:r>
          <w:r>
            <w:rPr>
              <w:b/>
            </w:rPr>
            <w:tab/>
          </w:r>
          <w:r>
            <w:rPr>
              <w:b/>
            </w:rPr>
            <w:fldChar w:fldCharType="begin"/>
          </w:r>
          <w:r>
            <w:rPr>
              <w:b/>
            </w:rPr>
            <w:instrText xml:space="preserve"> PAGEREF _Toc28551 \h </w:instrText>
          </w:r>
          <w:r>
            <w:rPr>
              <w:b/>
            </w:rPr>
            <w:fldChar w:fldCharType="separate"/>
          </w:r>
          <w:r>
            <w:rPr>
              <w:b/>
            </w:rPr>
            <w:t>32</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_Toc3915 </w:instrText>
          </w:r>
          <w:r>
            <w:rPr>
              <w:b/>
            </w:rPr>
            <w:fldChar w:fldCharType="separate"/>
          </w:r>
          <w:r>
            <w:rPr>
              <w:rStyle w:val="36"/>
              <w:rFonts w:hint="eastAsia"/>
              <w:lang w:val="en-US" w:eastAsia="zh-CN"/>
            </w:rPr>
            <w:t>第九章 工伤保险政策</w:t>
          </w:r>
          <w:r>
            <w:rPr>
              <w:b/>
            </w:rPr>
            <w:tab/>
          </w:r>
          <w:r>
            <w:rPr>
              <w:b/>
            </w:rPr>
            <w:fldChar w:fldCharType="begin"/>
          </w:r>
          <w:r>
            <w:rPr>
              <w:b/>
            </w:rPr>
            <w:instrText xml:space="preserve"> PAGEREF _Toc3915 \h </w:instrText>
          </w:r>
          <w:r>
            <w:rPr>
              <w:b/>
            </w:rPr>
            <w:fldChar w:fldCharType="separate"/>
          </w:r>
          <w:r>
            <w:rPr>
              <w:b/>
            </w:rPr>
            <w:t>33</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_Toc32329 </w:instrText>
          </w:r>
          <w:r>
            <w:rPr>
              <w:b/>
            </w:rPr>
            <w:fldChar w:fldCharType="separate"/>
          </w:r>
          <w:r>
            <w:rPr>
              <w:rStyle w:val="36"/>
              <w:rFonts w:hint="eastAsia"/>
              <w:lang w:val="en-US" w:eastAsia="zh-CN"/>
            </w:rPr>
            <w:t>第十章 意外伤害政策</w:t>
          </w:r>
          <w:r>
            <w:rPr>
              <w:b/>
            </w:rPr>
            <w:tab/>
          </w:r>
          <w:r>
            <w:rPr>
              <w:b/>
            </w:rPr>
            <w:fldChar w:fldCharType="begin"/>
          </w:r>
          <w:r>
            <w:rPr>
              <w:b/>
            </w:rPr>
            <w:instrText xml:space="preserve"> PAGEREF _Toc32329 \h </w:instrText>
          </w:r>
          <w:r>
            <w:rPr>
              <w:b/>
            </w:rPr>
            <w:fldChar w:fldCharType="separate"/>
          </w:r>
          <w:r>
            <w:rPr>
              <w:b/>
            </w:rPr>
            <w:t>35</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_Toc5537 </w:instrText>
          </w:r>
          <w:r>
            <w:rPr>
              <w:b/>
            </w:rPr>
            <w:fldChar w:fldCharType="separate"/>
          </w:r>
          <w:r>
            <w:rPr>
              <w:rStyle w:val="36"/>
              <w:rFonts w:hint="eastAsia"/>
              <w:lang w:val="en-US" w:eastAsia="zh-CN"/>
            </w:rPr>
            <w:t>第十一章 血制品报销政策</w:t>
          </w:r>
          <w:r>
            <w:rPr>
              <w:b/>
            </w:rPr>
            <w:tab/>
          </w:r>
          <w:r>
            <w:rPr>
              <w:b/>
            </w:rPr>
            <w:fldChar w:fldCharType="begin"/>
          </w:r>
          <w:r>
            <w:rPr>
              <w:b/>
            </w:rPr>
            <w:instrText xml:space="preserve"> PAGEREF _Toc5537 \h </w:instrText>
          </w:r>
          <w:r>
            <w:rPr>
              <w:b/>
            </w:rPr>
            <w:fldChar w:fldCharType="separate"/>
          </w:r>
          <w:r>
            <w:rPr>
              <w:b/>
            </w:rPr>
            <w:t>36</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_Toc29970 </w:instrText>
          </w:r>
          <w:r>
            <w:rPr>
              <w:b/>
            </w:rPr>
            <w:fldChar w:fldCharType="separate"/>
          </w:r>
          <w:r>
            <w:rPr>
              <w:rStyle w:val="36"/>
              <w:rFonts w:hint="eastAsia"/>
              <w:lang w:val="en-US" w:eastAsia="zh-CN"/>
            </w:rPr>
            <w:t>第十二章 血液透析报销政策</w:t>
          </w:r>
          <w:r>
            <w:rPr>
              <w:b/>
            </w:rPr>
            <w:tab/>
          </w:r>
          <w:r>
            <w:rPr>
              <w:b/>
            </w:rPr>
            <w:fldChar w:fldCharType="begin"/>
          </w:r>
          <w:r>
            <w:rPr>
              <w:b/>
            </w:rPr>
            <w:instrText xml:space="preserve"> PAGEREF _Toc29970 \h </w:instrText>
          </w:r>
          <w:r>
            <w:rPr>
              <w:b/>
            </w:rPr>
            <w:fldChar w:fldCharType="separate"/>
          </w:r>
          <w:r>
            <w:rPr>
              <w:b/>
            </w:rPr>
            <w:t>39</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_Toc12031 </w:instrText>
          </w:r>
          <w:r>
            <w:rPr>
              <w:b/>
            </w:rPr>
            <w:fldChar w:fldCharType="separate"/>
          </w:r>
          <w:r>
            <w:rPr>
              <w:rStyle w:val="36"/>
              <w:rFonts w:hint="eastAsia"/>
              <w:lang w:val="en-US" w:eastAsia="zh-CN"/>
            </w:rPr>
            <w:t>第十三章 早癌筛查政策</w:t>
          </w:r>
          <w:r>
            <w:rPr>
              <w:b/>
            </w:rPr>
            <w:tab/>
          </w:r>
          <w:r>
            <w:rPr>
              <w:b/>
            </w:rPr>
            <w:fldChar w:fldCharType="begin"/>
          </w:r>
          <w:r>
            <w:rPr>
              <w:b/>
            </w:rPr>
            <w:instrText xml:space="preserve"> PAGEREF _Toc12031 \h </w:instrText>
          </w:r>
          <w:r>
            <w:rPr>
              <w:b/>
            </w:rPr>
            <w:fldChar w:fldCharType="separate"/>
          </w:r>
          <w:r>
            <w:rPr>
              <w:b/>
            </w:rPr>
            <w:t>39</w:t>
          </w:r>
          <w:r>
            <w:rPr>
              <w:b/>
            </w:rPr>
            <w:fldChar w:fldCharType="end"/>
          </w:r>
          <w:r>
            <w:rPr>
              <w:b/>
            </w:rPr>
            <w:fldChar w:fldCharType="end"/>
          </w:r>
        </w:p>
        <w:p>
          <w:pPr>
            <w:pStyle w:val="34"/>
            <w:keepNext w:val="0"/>
            <w:keepLines w:val="0"/>
            <w:pageBreakBefore w:val="0"/>
            <w:tabs>
              <w:tab w:val="right" w:leader="dot" w:pos="9072"/>
            </w:tabs>
            <w:kinsoku/>
            <w:wordWrap/>
            <w:overflowPunct/>
            <w:topLinePunct w:val="0"/>
            <w:autoSpaceDE/>
            <w:autoSpaceDN/>
            <w:bidi w:val="0"/>
            <w:adjustRightInd/>
            <w:snapToGrid/>
            <w:spacing w:line="360" w:lineRule="auto"/>
            <w:ind w:left="0" w:leftChars="0" w:firstLine="600" w:firstLineChars="300"/>
            <w:textAlignment w:val="auto"/>
          </w:pPr>
          <w:r>
            <w:fldChar w:fldCharType="begin"/>
          </w:r>
          <w:r>
            <w:instrText xml:space="preserve"> HYPERLINK \l _Toc24166 </w:instrText>
          </w:r>
          <w:r>
            <w:fldChar w:fldCharType="separate"/>
          </w:r>
          <w:r>
            <w:rPr>
              <w:rStyle w:val="36"/>
              <w:rFonts w:hint="eastAsia"/>
              <w:lang w:val="en-US" w:eastAsia="zh-CN"/>
            </w:rPr>
            <w:t>第十四章 DIP付费政策</w:t>
          </w:r>
          <w:r>
            <w:tab/>
          </w:r>
          <w:r>
            <w:fldChar w:fldCharType="begin"/>
          </w:r>
          <w:r>
            <w:instrText xml:space="preserve"> PAGEREF _Toc24166 \h </w:instrText>
          </w:r>
          <w:r>
            <w:fldChar w:fldCharType="separate"/>
          </w:r>
          <w:r>
            <w:t>40</w:t>
          </w:r>
          <w:r>
            <w:fldChar w:fldCharType="end"/>
          </w:r>
          <w:r>
            <w:fldChar w:fldCharType="end"/>
          </w:r>
        </w:p>
        <w:p>
          <w:pPr>
            <w:pStyle w:val="34"/>
            <w:keepNext w:val="0"/>
            <w:keepLines w:val="0"/>
            <w:pageBreakBefore w:val="0"/>
            <w:tabs>
              <w:tab w:val="right" w:leader="dot" w:pos="9072"/>
            </w:tabs>
            <w:kinsoku/>
            <w:wordWrap/>
            <w:overflowPunct/>
            <w:topLinePunct w:val="0"/>
            <w:autoSpaceDE/>
            <w:autoSpaceDN/>
            <w:bidi w:val="0"/>
            <w:adjustRightInd/>
            <w:snapToGrid/>
            <w:spacing w:line="360" w:lineRule="auto"/>
            <w:ind w:left="0" w:leftChars="0" w:firstLine="600" w:firstLineChars="300"/>
            <w:textAlignment w:val="auto"/>
          </w:pPr>
          <w:r>
            <w:fldChar w:fldCharType="begin"/>
          </w:r>
          <w:r>
            <w:instrText xml:space="preserve"> HYPERLINK \l _Toc19738 </w:instrText>
          </w:r>
          <w:r>
            <w:fldChar w:fldCharType="separate"/>
          </w:r>
          <w:r>
            <w:rPr>
              <w:rStyle w:val="36"/>
              <w:rFonts w:hint="eastAsia"/>
              <w:lang w:val="en-US" w:eastAsia="zh-CN"/>
            </w:rPr>
            <w:t>第十五章 其他医保知识</w:t>
          </w:r>
          <w:r>
            <w:tab/>
          </w:r>
          <w:r>
            <w:fldChar w:fldCharType="begin"/>
          </w:r>
          <w:r>
            <w:instrText xml:space="preserve"> PAGEREF _Toc19738 \h </w:instrText>
          </w:r>
          <w:r>
            <w:fldChar w:fldCharType="separate"/>
          </w:r>
          <w:r>
            <w:t>68</w:t>
          </w:r>
          <w:r>
            <w:fldChar w:fldCharType="end"/>
          </w:r>
          <w: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rPr>
          </w:pPr>
          <w:r>
            <w:rPr>
              <w:b/>
            </w:rPr>
            <w:fldChar w:fldCharType="begin"/>
          </w:r>
          <w:r>
            <w:rPr>
              <w:b/>
            </w:rPr>
            <w:instrText xml:space="preserve"> HYPERLINK \l _Toc26822 </w:instrText>
          </w:r>
          <w:r>
            <w:rPr>
              <w:b/>
            </w:rPr>
            <w:fldChar w:fldCharType="separate"/>
          </w:r>
          <w:r>
            <w:rPr>
              <w:rStyle w:val="35"/>
              <w:rFonts w:hint="eastAsia"/>
              <w:lang w:val="en-US" w:eastAsia="zh-CN"/>
            </w:rPr>
            <w:t>第二部分 异地医保政策</w:t>
          </w:r>
          <w:r>
            <w:rPr>
              <w:b/>
            </w:rPr>
            <w:tab/>
          </w:r>
          <w:r>
            <w:rPr>
              <w:b/>
            </w:rPr>
            <w:fldChar w:fldCharType="begin"/>
          </w:r>
          <w:r>
            <w:rPr>
              <w:b/>
            </w:rPr>
            <w:instrText xml:space="preserve"> PAGEREF _Toc26822 \h </w:instrText>
          </w:r>
          <w:r>
            <w:rPr>
              <w:b/>
            </w:rPr>
            <w:fldChar w:fldCharType="separate"/>
          </w:r>
          <w:r>
            <w:rPr>
              <w:b/>
            </w:rPr>
            <w:t>71</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_Toc2044 </w:instrText>
          </w:r>
          <w:r>
            <w:rPr>
              <w:b/>
            </w:rPr>
            <w:fldChar w:fldCharType="separate"/>
          </w:r>
          <w:r>
            <w:rPr>
              <w:rStyle w:val="36"/>
              <w:rFonts w:hint="eastAsia"/>
              <w:lang w:val="en-US" w:eastAsia="zh-CN"/>
            </w:rPr>
            <w:t>第十六章 油田职工政策</w:t>
          </w:r>
          <w:r>
            <w:rPr>
              <w:b/>
            </w:rPr>
            <w:tab/>
          </w:r>
          <w:r>
            <w:rPr>
              <w:b/>
            </w:rPr>
            <w:fldChar w:fldCharType="begin"/>
          </w:r>
          <w:r>
            <w:rPr>
              <w:b/>
            </w:rPr>
            <w:instrText xml:space="preserve"> PAGEREF _Toc2044 \h </w:instrText>
          </w:r>
          <w:r>
            <w:rPr>
              <w:b/>
            </w:rPr>
            <w:fldChar w:fldCharType="separate"/>
          </w:r>
          <w:r>
            <w:rPr>
              <w:b/>
            </w:rPr>
            <w:t>71</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pPr>
          <w:r>
            <w:rPr>
              <w:b/>
            </w:rPr>
            <w:fldChar w:fldCharType="begin"/>
          </w:r>
          <w:r>
            <w:rPr>
              <w:b/>
            </w:rPr>
            <w:instrText xml:space="preserve"> HYPERLINK \l _Toc28638 </w:instrText>
          </w:r>
          <w:r>
            <w:rPr>
              <w:b/>
            </w:rPr>
            <w:fldChar w:fldCharType="separate"/>
          </w:r>
          <w:r>
            <w:rPr>
              <w:rStyle w:val="36"/>
              <w:rFonts w:hint="eastAsia"/>
              <w:lang w:val="en-US" w:eastAsia="zh-CN"/>
            </w:rPr>
            <w:t>第十七章 淄博医保政策</w:t>
          </w:r>
          <w:r>
            <w:rPr>
              <w:b/>
            </w:rPr>
            <w:tab/>
          </w:r>
          <w:r>
            <w:rPr>
              <w:b/>
            </w:rPr>
            <w:fldChar w:fldCharType="begin"/>
          </w:r>
          <w:r>
            <w:rPr>
              <w:b/>
            </w:rPr>
            <w:instrText xml:space="preserve"> PAGEREF _Toc28638 \h </w:instrText>
          </w:r>
          <w:r>
            <w:rPr>
              <w:b/>
            </w:rPr>
            <w:fldChar w:fldCharType="separate"/>
          </w:r>
          <w:r>
            <w:rPr>
              <w:b/>
            </w:rPr>
            <w:t>71</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ind w:firstLine="600" w:firstLineChars="300"/>
            <w:textAlignment w:val="auto"/>
            <w:rPr>
              <w:b/>
            </w:rPr>
          </w:pPr>
          <w:r>
            <w:rPr>
              <w:b/>
            </w:rPr>
            <w:fldChar w:fldCharType="begin"/>
          </w:r>
          <w:r>
            <w:rPr>
              <w:b/>
            </w:rPr>
            <w:instrText xml:space="preserve"> HYPERLINK \l _Toc22121 </w:instrText>
          </w:r>
          <w:r>
            <w:rPr>
              <w:b/>
            </w:rPr>
            <w:fldChar w:fldCharType="separate"/>
          </w:r>
          <w:r>
            <w:rPr>
              <w:rStyle w:val="36"/>
              <w:rFonts w:hint="eastAsia"/>
              <w:lang w:val="en-US" w:eastAsia="zh-CN"/>
            </w:rPr>
            <w:t>第十八章 东营医保政策</w:t>
          </w:r>
          <w:r>
            <w:rPr>
              <w:b/>
            </w:rPr>
            <w:tab/>
          </w:r>
          <w:r>
            <w:rPr>
              <w:b/>
            </w:rPr>
            <w:fldChar w:fldCharType="begin"/>
          </w:r>
          <w:r>
            <w:rPr>
              <w:b/>
            </w:rPr>
            <w:instrText xml:space="preserve"> PAGEREF _Toc22121 \h </w:instrText>
          </w:r>
          <w:r>
            <w:rPr>
              <w:b/>
            </w:rPr>
            <w:fldChar w:fldCharType="separate"/>
          </w:r>
          <w:r>
            <w:rPr>
              <w:b/>
            </w:rPr>
            <w:t>75</w:t>
          </w:r>
          <w:r>
            <w:rPr>
              <w:b/>
            </w:rPr>
            <w:fldChar w:fldCharType="end"/>
          </w:r>
          <w:r>
            <w:rPr>
              <w:b/>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rPr>
          </w:pPr>
          <w:r>
            <w:rPr>
              <w:b/>
            </w:rPr>
            <w:fldChar w:fldCharType="begin"/>
          </w:r>
          <w:r>
            <w:rPr>
              <w:b/>
            </w:rPr>
            <w:instrText xml:space="preserve"> HYPERLINK \l _Toc3169 </w:instrText>
          </w:r>
          <w:r>
            <w:rPr>
              <w:b/>
            </w:rPr>
            <w:fldChar w:fldCharType="separate"/>
          </w:r>
          <w:r>
            <w:rPr>
              <w:rStyle w:val="35"/>
              <w:rFonts w:hint="eastAsia"/>
              <w:lang w:val="en-US" w:eastAsia="zh-CN"/>
            </w:rPr>
            <w:t>第三部分 其他医保政策</w:t>
          </w:r>
          <w:r>
            <w:rPr>
              <w:b/>
            </w:rPr>
            <w:tab/>
          </w:r>
          <w:r>
            <w:rPr>
              <w:b/>
            </w:rPr>
            <w:fldChar w:fldCharType="begin"/>
          </w:r>
          <w:r>
            <w:rPr>
              <w:b/>
            </w:rPr>
            <w:instrText xml:space="preserve"> PAGEREF _Toc3169 \h </w:instrText>
          </w:r>
          <w:r>
            <w:rPr>
              <w:b/>
            </w:rPr>
            <w:fldChar w:fldCharType="separate"/>
          </w:r>
          <w:r>
            <w:rPr>
              <w:b/>
            </w:rPr>
            <w:t>77</w:t>
          </w:r>
          <w:r>
            <w:rPr>
              <w:b/>
            </w:rPr>
            <w:fldChar w:fldCharType="end"/>
          </w:r>
          <w:r>
            <w:rPr>
              <w:b/>
            </w:rPr>
            <w:fldChar w:fldCharType="end"/>
          </w:r>
        </w:p>
        <w:p>
          <w:pPr>
            <w:pStyle w:val="34"/>
            <w:keepNext w:val="0"/>
            <w:keepLines w:val="0"/>
            <w:pageBreakBefore w:val="0"/>
            <w:tabs>
              <w:tab w:val="right" w:leader="dot" w:pos="9072"/>
            </w:tabs>
            <w:kinsoku/>
            <w:wordWrap/>
            <w:overflowPunct/>
            <w:topLinePunct w:val="0"/>
            <w:autoSpaceDE/>
            <w:autoSpaceDN/>
            <w:bidi w:val="0"/>
            <w:adjustRightInd/>
            <w:snapToGrid/>
            <w:spacing w:line="360" w:lineRule="auto"/>
            <w:ind w:firstLine="200" w:firstLineChars="100"/>
            <w:textAlignment w:val="auto"/>
          </w:pPr>
          <w:r>
            <w:fldChar w:fldCharType="begin"/>
          </w:r>
          <w:r>
            <w:instrText xml:space="preserve"> HYPERLINK \l _Toc5637 </w:instrText>
          </w:r>
          <w:r>
            <w:fldChar w:fldCharType="separate"/>
          </w:r>
          <w:r>
            <w:rPr>
              <w:rStyle w:val="36"/>
              <w:rFonts w:hint="eastAsia"/>
              <w:lang w:val="en-US" w:eastAsia="zh-CN"/>
            </w:rPr>
            <w:t>第十九章 医保基金不予支付的情形</w:t>
          </w:r>
          <w:r>
            <w:tab/>
          </w:r>
          <w:r>
            <w:fldChar w:fldCharType="begin"/>
          </w:r>
          <w:r>
            <w:instrText xml:space="preserve"> PAGEREF _Toc5637 \h </w:instrText>
          </w:r>
          <w:r>
            <w:fldChar w:fldCharType="separate"/>
          </w:r>
          <w:r>
            <w:t>77</w:t>
          </w:r>
          <w:r>
            <w:fldChar w:fldCharType="end"/>
          </w:r>
          <w:r>
            <w:fldChar w:fldCharType="end"/>
          </w:r>
        </w:p>
        <w:p>
          <w:pPr>
            <w:pStyle w:val="34"/>
            <w:keepNext w:val="0"/>
            <w:keepLines w:val="0"/>
            <w:pageBreakBefore w:val="0"/>
            <w:tabs>
              <w:tab w:val="right" w:leader="dot" w:pos="9072"/>
            </w:tabs>
            <w:kinsoku/>
            <w:wordWrap/>
            <w:overflowPunct/>
            <w:topLinePunct w:val="0"/>
            <w:autoSpaceDE/>
            <w:autoSpaceDN/>
            <w:bidi w:val="0"/>
            <w:adjustRightInd/>
            <w:snapToGrid/>
            <w:spacing w:line="360" w:lineRule="auto"/>
            <w:ind w:firstLine="200" w:firstLineChars="100"/>
            <w:textAlignment w:val="auto"/>
          </w:pPr>
          <w:r>
            <w:fldChar w:fldCharType="begin"/>
          </w:r>
          <w:r>
            <w:instrText xml:space="preserve"> HYPERLINK \l _Toc29923 </w:instrText>
          </w:r>
          <w:r>
            <w:fldChar w:fldCharType="separate"/>
          </w:r>
          <w:r>
            <w:rPr>
              <w:rStyle w:val="36"/>
              <w:rFonts w:hint="eastAsia"/>
              <w:lang w:val="en-US" w:eastAsia="zh-CN"/>
            </w:rPr>
            <w:t>第二十章 定点医疗机构违规行为</w:t>
          </w:r>
          <w:r>
            <w:tab/>
          </w:r>
          <w:r>
            <w:fldChar w:fldCharType="begin"/>
          </w:r>
          <w:r>
            <w:instrText xml:space="preserve"> PAGEREF _Toc29923 \h </w:instrText>
          </w:r>
          <w:r>
            <w:fldChar w:fldCharType="separate"/>
          </w:r>
          <w:r>
            <w:t>77</w:t>
          </w:r>
          <w:r>
            <w:fldChar w:fldCharType="end"/>
          </w:r>
          <w:r>
            <w:fldChar w:fldCharType="end"/>
          </w:r>
        </w:p>
        <w:p>
          <w:pPr>
            <w:pStyle w:val="34"/>
            <w:keepNext w:val="0"/>
            <w:keepLines w:val="0"/>
            <w:pageBreakBefore w:val="0"/>
            <w:tabs>
              <w:tab w:val="right" w:leader="dot" w:pos="9072"/>
            </w:tabs>
            <w:kinsoku/>
            <w:wordWrap/>
            <w:overflowPunct/>
            <w:topLinePunct w:val="0"/>
            <w:autoSpaceDE/>
            <w:autoSpaceDN/>
            <w:bidi w:val="0"/>
            <w:adjustRightInd/>
            <w:snapToGrid/>
            <w:spacing w:line="360" w:lineRule="auto"/>
            <w:ind w:firstLine="200" w:firstLineChars="100"/>
            <w:textAlignment w:val="auto"/>
          </w:pPr>
          <w:r>
            <w:fldChar w:fldCharType="begin"/>
          </w:r>
          <w:r>
            <w:instrText xml:space="preserve"> HYPERLINK \l _Toc10652 </w:instrText>
          </w:r>
          <w:r>
            <w:fldChar w:fldCharType="separate"/>
          </w:r>
          <w:r>
            <w:rPr>
              <w:rStyle w:val="36"/>
              <w:rFonts w:hint="eastAsia"/>
              <w:lang w:val="en-US" w:eastAsia="zh-CN"/>
            </w:rPr>
            <w:t>第二十一章 医保便民服务电话及掌办、网办渠道</w:t>
          </w:r>
          <w:r>
            <w:tab/>
          </w:r>
          <w:r>
            <w:fldChar w:fldCharType="begin"/>
          </w:r>
          <w:r>
            <w:instrText xml:space="preserve"> PAGEREF _Toc10652 \h </w:instrText>
          </w:r>
          <w:r>
            <w:fldChar w:fldCharType="separate"/>
          </w:r>
          <w:r>
            <w:t>83</w:t>
          </w:r>
          <w:r>
            <w:fldChar w:fldCharType="end"/>
          </w:r>
          <w: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48"/>
              <w:szCs w:val="48"/>
              <w:lang w:val="en-US" w:eastAsia="zh-CN"/>
            </w:rPr>
          </w:pPr>
          <w:r>
            <w:rPr>
              <w:b/>
            </w:rPr>
            <w:fldChar w:fldCharType="end"/>
          </w:r>
          <w:bookmarkStart w:id="2" w:name="_Toc30620"/>
        </w:p>
      </w:sdtContent>
    </w:sdt>
    <w:p>
      <w:pPr>
        <w:jc w:val="center"/>
        <w:outlineLvl w:val="0"/>
        <w:rPr>
          <w:rFonts w:hint="eastAsia" w:asciiTheme="majorEastAsia" w:hAnsiTheme="majorEastAsia" w:eastAsiaTheme="majorEastAsia" w:cstheme="majorEastAsia"/>
          <w:b/>
          <w:bCs/>
          <w:sz w:val="48"/>
          <w:szCs w:val="48"/>
          <w:lang w:val="en-US" w:eastAsia="zh-CN"/>
        </w:rPr>
      </w:pPr>
    </w:p>
    <w:p>
      <w:pPr>
        <w:jc w:val="center"/>
        <w:outlineLvl w:val="0"/>
        <w:rPr>
          <w:rFonts w:hint="eastAsia" w:asciiTheme="majorEastAsia" w:hAnsiTheme="majorEastAsia" w:eastAsiaTheme="majorEastAsia" w:cstheme="majorEastAsia"/>
          <w:b/>
          <w:bCs/>
          <w:sz w:val="48"/>
          <w:szCs w:val="48"/>
          <w:lang w:val="en-US" w:eastAsia="zh-CN"/>
        </w:rPr>
      </w:pPr>
      <w:r>
        <w:rPr>
          <w:rFonts w:hint="eastAsia" w:asciiTheme="majorEastAsia" w:hAnsiTheme="majorEastAsia" w:eastAsiaTheme="majorEastAsia" w:cstheme="majorEastAsia"/>
          <w:b/>
          <w:bCs/>
          <w:sz w:val="48"/>
          <w:szCs w:val="48"/>
          <w:lang w:val="en-US" w:eastAsia="zh-CN"/>
        </w:rPr>
        <w:t>第一部分 滨州市医保政策</w:t>
      </w:r>
      <w:bookmarkEnd w:id="2"/>
    </w:p>
    <w:p>
      <w:pPr>
        <w:pStyle w:val="2"/>
        <w:keepNext/>
        <w:keepLines/>
        <w:pageBreakBefore w:val="0"/>
        <w:widowControl w:val="0"/>
        <w:kinsoku/>
        <w:wordWrap/>
        <w:overflowPunct/>
        <w:topLinePunct w:val="0"/>
        <w:autoSpaceDE/>
        <w:autoSpaceDN/>
        <w:bidi w:val="0"/>
        <w:adjustRightInd/>
        <w:snapToGrid/>
        <w:spacing w:before="0" w:after="0" w:line="560" w:lineRule="exact"/>
        <w:jc w:val="both"/>
        <w:textAlignment w:val="auto"/>
        <w:outlineLvl w:val="9"/>
        <w:rPr>
          <w:rFonts w:hint="eastAsia" w:asciiTheme="majorEastAsia" w:hAnsiTheme="majorEastAsia" w:eastAsiaTheme="majorEastAsia" w:cstheme="majorEastAsia"/>
          <w:sz w:val="44"/>
          <w:szCs w:val="44"/>
          <w:lang w:eastAsia="zh-CN"/>
        </w:rPr>
      </w:pPr>
      <w:bookmarkStart w:id="3" w:name="_Toc7663"/>
    </w:p>
    <w:p>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outlineLvl w:val="1"/>
        <w:rPr>
          <w:rFonts w:hint="eastAsia" w:asciiTheme="majorEastAsia" w:hAnsiTheme="majorEastAsia" w:eastAsiaTheme="majorEastAsia" w:cstheme="majorEastAsia"/>
          <w:sz w:val="44"/>
          <w:szCs w:val="44"/>
        </w:rPr>
      </w:pPr>
      <w:bookmarkStart w:id="4" w:name="_Toc26759"/>
      <w:r>
        <w:rPr>
          <w:rFonts w:hint="eastAsia" w:asciiTheme="majorEastAsia" w:hAnsiTheme="majorEastAsia" w:eastAsiaTheme="majorEastAsia" w:cstheme="majorEastAsia"/>
          <w:sz w:val="44"/>
          <w:szCs w:val="44"/>
          <w:lang w:eastAsia="zh-CN"/>
        </w:rPr>
        <w:t>第一章</w:t>
      </w:r>
      <w:r>
        <w:rPr>
          <w:rFonts w:hint="eastAsia" w:asciiTheme="majorEastAsia" w:hAnsiTheme="majorEastAsia" w:eastAsiaTheme="majorEastAsia" w:cstheme="majorEastAsia"/>
          <w:sz w:val="44"/>
          <w:szCs w:val="44"/>
          <w:lang w:val="en-US" w:eastAsia="zh-CN"/>
        </w:rPr>
        <w:t xml:space="preserve"> </w:t>
      </w:r>
      <w:r>
        <w:rPr>
          <w:rFonts w:hint="eastAsia" w:asciiTheme="majorEastAsia" w:hAnsiTheme="majorEastAsia" w:eastAsiaTheme="majorEastAsia" w:cstheme="majorEastAsia"/>
          <w:sz w:val="44"/>
          <w:szCs w:val="44"/>
        </w:rPr>
        <w:t>医保</w:t>
      </w:r>
      <w:r>
        <w:rPr>
          <w:rFonts w:hint="eastAsia" w:asciiTheme="majorEastAsia" w:hAnsiTheme="majorEastAsia" w:eastAsiaTheme="majorEastAsia" w:cstheme="majorEastAsia"/>
          <w:sz w:val="44"/>
          <w:szCs w:val="44"/>
          <w:lang w:eastAsia="zh-CN"/>
        </w:rPr>
        <w:t>基本</w:t>
      </w:r>
      <w:r>
        <w:rPr>
          <w:rFonts w:hint="eastAsia" w:asciiTheme="majorEastAsia" w:hAnsiTheme="majorEastAsia" w:eastAsiaTheme="majorEastAsia" w:cstheme="majorEastAsia"/>
          <w:sz w:val="44"/>
          <w:szCs w:val="44"/>
        </w:rPr>
        <w:t>政策</w:t>
      </w:r>
      <w:bookmarkEnd w:id="3"/>
      <w:bookmarkEnd w:id="4"/>
    </w:p>
    <w:p>
      <w:pPr>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color w:val="000000"/>
          <w:kern w:val="0"/>
          <w:sz w:val="36"/>
          <w:szCs w:val="36"/>
          <w:lang w:eastAsia="zh-CN"/>
        </w:rPr>
      </w:pPr>
      <w:bookmarkStart w:id="5" w:name="_Toc1157"/>
    </w:p>
    <w:p>
      <w:pPr>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color w:val="000000"/>
          <w:kern w:val="0"/>
          <w:sz w:val="36"/>
          <w:szCs w:val="36"/>
        </w:rPr>
      </w:pPr>
      <w:r>
        <w:rPr>
          <w:rFonts w:hint="eastAsia" w:asciiTheme="minorEastAsia" w:hAnsiTheme="minorEastAsia" w:eastAsiaTheme="minorEastAsia" w:cstheme="minorEastAsia"/>
          <w:b/>
          <w:color w:val="000000"/>
          <w:kern w:val="0"/>
          <w:sz w:val="36"/>
          <w:szCs w:val="36"/>
          <w:lang w:eastAsia="zh-CN"/>
        </w:rPr>
        <w:t>一、</w:t>
      </w:r>
      <w:r>
        <w:rPr>
          <w:rFonts w:hint="eastAsia" w:asciiTheme="minorEastAsia" w:hAnsiTheme="minorEastAsia" w:eastAsiaTheme="minorEastAsia" w:cstheme="minorEastAsia"/>
          <w:b/>
          <w:color w:val="000000"/>
          <w:kern w:val="0"/>
          <w:sz w:val="36"/>
          <w:szCs w:val="36"/>
        </w:rPr>
        <w:t>职工医保部分</w:t>
      </w:r>
      <w:bookmarkEnd w:id="5"/>
    </w:p>
    <w:p>
      <w:pPr>
        <w:jc w:val="both"/>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表1.职工基本医疗保险筹资政策</w:t>
      </w:r>
    </w:p>
    <w:tbl>
      <w:tblPr>
        <w:tblStyle w:val="15"/>
        <w:tblW w:w="10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1772"/>
        <w:gridCol w:w="2099"/>
        <w:gridCol w:w="2235"/>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1" w:type="dxa"/>
            <w:vAlign w:val="center"/>
          </w:tcPr>
          <w:p>
            <w:pPr>
              <w:jc w:val="center"/>
              <w:rPr>
                <w:rFonts w:ascii="宋体" w:hAnsi="宋体"/>
                <w:color w:val="auto"/>
                <w:szCs w:val="21"/>
              </w:rPr>
            </w:pPr>
            <w:r>
              <w:rPr>
                <w:rFonts w:hint="eastAsia" w:ascii="宋体" w:hAnsi="宋体"/>
                <w:color w:val="auto"/>
                <w:szCs w:val="21"/>
              </w:rPr>
              <w:t>月份</w:t>
            </w:r>
          </w:p>
        </w:tc>
        <w:tc>
          <w:tcPr>
            <w:tcW w:w="1772" w:type="dxa"/>
            <w:vAlign w:val="center"/>
          </w:tcPr>
          <w:p>
            <w:pPr>
              <w:jc w:val="center"/>
              <w:rPr>
                <w:rFonts w:ascii="宋体" w:hAnsi="宋体"/>
                <w:color w:val="auto"/>
                <w:szCs w:val="21"/>
              </w:rPr>
            </w:pPr>
            <w:r>
              <w:rPr>
                <w:rFonts w:hint="eastAsia" w:ascii="宋体" w:hAnsi="宋体"/>
                <w:color w:val="auto"/>
                <w:szCs w:val="21"/>
              </w:rPr>
              <w:t>单位性质</w:t>
            </w:r>
          </w:p>
        </w:tc>
        <w:tc>
          <w:tcPr>
            <w:tcW w:w="2099" w:type="dxa"/>
            <w:vAlign w:val="center"/>
          </w:tcPr>
          <w:p>
            <w:pPr>
              <w:jc w:val="center"/>
              <w:rPr>
                <w:rFonts w:hint="eastAsia" w:ascii="宋体" w:hAnsi="宋体" w:eastAsia="宋体"/>
                <w:color w:val="auto"/>
                <w:szCs w:val="21"/>
                <w:lang w:eastAsia="zh-CN"/>
              </w:rPr>
            </w:pPr>
            <w:r>
              <w:rPr>
                <w:rFonts w:hint="eastAsia" w:ascii="宋体" w:hAnsi="宋体"/>
                <w:color w:val="auto"/>
                <w:szCs w:val="21"/>
                <w:lang w:eastAsia="zh-CN"/>
              </w:rPr>
              <w:t>单位缴费比例</w:t>
            </w:r>
          </w:p>
        </w:tc>
        <w:tc>
          <w:tcPr>
            <w:tcW w:w="2235" w:type="dxa"/>
            <w:vAlign w:val="center"/>
          </w:tcPr>
          <w:p>
            <w:pPr>
              <w:jc w:val="center"/>
              <w:rPr>
                <w:rFonts w:ascii="宋体" w:hAnsi="宋体"/>
                <w:color w:val="auto"/>
                <w:szCs w:val="21"/>
              </w:rPr>
            </w:pPr>
            <w:r>
              <w:rPr>
                <w:rFonts w:hint="eastAsia" w:ascii="宋体" w:hAnsi="宋体"/>
                <w:color w:val="auto"/>
                <w:szCs w:val="21"/>
                <w:lang w:eastAsia="zh-CN"/>
              </w:rPr>
              <w:t>个人缴费比例</w:t>
            </w:r>
          </w:p>
        </w:tc>
        <w:tc>
          <w:tcPr>
            <w:tcW w:w="2451" w:type="dxa"/>
            <w:vAlign w:val="center"/>
          </w:tcPr>
          <w:p>
            <w:pPr>
              <w:jc w:val="center"/>
              <w:rPr>
                <w:rFonts w:hint="eastAsia" w:ascii="宋体" w:hAnsi="宋体"/>
                <w:color w:val="auto"/>
                <w:szCs w:val="21"/>
              </w:rPr>
            </w:pPr>
            <w:r>
              <w:rPr>
                <w:rFonts w:hint="eastAsia" w:ascii="宋体" w:hAnsi="宋体"/>
                <w:color w:val="auto"/>
                <w:szCs w:val="21"/>
                <w:lang w:eastAsia="zh-CN"/>
              </w:rPr>
              <w:t>合计</w:t>
            </w:r>
            <w:r>
              <w:rPr>
                <w:rFonts w:hint="eastAsia" w:ascii="宋体" w:hAnsi="宋体"/>
                <w:color w:val="auto"/>
                <w:szCs w:val="21"/>
              </w:rPr>
              <w:t>缴费比例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51" w:type="dxa"/>
            <w:vMerge w:val="restart"/>
            <w:vAlign w:val="center"/>
          </w:tcPr>
          <w:p>
            <w:pPr>
              <w:jc w:val="center"/>
              <w:rPr>
                <w:rFonts w:hint="eastAsia"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-12</w:t>
            </w:r>
            <w:r>
              <w:rPr>
                <w:rFonts w:hint="eastAsia" w:ascii="宋体" w:hAnsi="宋体"/>
                <w:color w:val="auto"/>
                <w:szCs w:val="21"/>
              </w:rPr>
              <w:t>月</w:t>
            </w:r>
          </w:p>
        </w:tc>
        <w:tc>
          <w:tcPr>
            <w:tcW w:w="1772" w:type="dxa"/>
            <w:vAlign w:val="center"/>
          </w:tcPr>
          <w:p>
            <w:pPr>
              <w:jc w:val="center"/>
              <w:rPr>
                <w:rFonts w:ascii="宋体" w:hAnsi="宋体"/>
                <w:color w:val="auto"/>
                <w:szCs w:val="21"/>
              </w:rPr>
            </w:pPr>
            <w:r>
              <w:rPr>
                <w:rFonts w:hint="eastAsia" w:ascii="宋体" w:hAnsi="宋体"/>
                <w:color w:val="auto"/>
                <w:szCs w:val="21"/>
              </w:rPr>
              <w:t>机关事业单位</w:t>
            </w:r>
          </w:p>
        </w:tc>
        <w:tc>
          <w:tcPr>
            <w:tcW w:w="2099" w:type="dxa"/>
            <w:vAlign w:val="center"/>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7.3%</w:t>
            </w:r>
          </w:p>
        </w:tc>
        <w:tc>
          <w:tcPr>
            <w:tcW w:w="2235" w:type="dxa"/>
            <w:vAlign w:val="center"/>
          </w:tcPr>
          <w:p>
            <w:pPr>
              <w:jc w:val="center"/>
              <w:rPr>
                <w:rFonts w:hint="eastAsia" w:ascii="宋体" w:hAnsi="宋体" w:eastAsia="宋体"/>
                <w:color w:val="auto"/>
                <w:szCs w:val="21"/>
                <w:lang w:eastAsia="zh-CN"/>
              </w:rPr>
            </w:pPr>
            <w:r>
              <w:rPr>
                <w:rFonts w:hint="eastAsia" w:ascii="宋体" w:hAnsi="宋体"/>
                <w:color w:val="auto"/>
                <w:szCs w:val="21"/>
                <w:lang w:val="en-US" w:eastAsia="zh-CN"/>
              </w:rPr>
              <w:t>2%</w:t>
            </w:r>
          </w:p>
        </w:tc>
        <w:tc>
          <w:tcPr>
            <w:tcW w:w="2451" w:type="dxa"/>
            <w:vAlign w:val="center"/>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51" w:type="dxa"/>
            <w:vMerge w:val="continue"/>
            <w:vAlign w:val="center"/>
          </w:tcPr>
          <w:p>
            <w:pPr>
              <w:jc w:val="center"/>
              <w:rPr>
                <w:rFonts w:hint="eastAsia" w:ascii="宋体" w:hAnsi="宋体"/>
                <w:color w:val="auto"/>
                <w:szCs w:val="21"/>
              </w:rPr>
            </w:pPr>
          </w:p>
        </w:tc>
        <w:tc>
          <w:tcPr>
            <w:tcW w:w="1772" w:type="dxa"/>
            <w:vAlign w:val="center"/>
          </w:tcPr>
          <w:p>
            <w:pPr>
              <w:jc w:val="center"/>
              <w:rPr>
                <w:rFonts w:ascii="宋体" w:hAnsi="宋体"/>
                <w:color w:val="auto"/>
                <w:szCs w:val="21"/>
              </w:rPr>
            </w:pPr>
            <w:r>
              <w:rPr>
                <w:rFonts w:hint="eastAsia" w:ascii="宋体" w:hAnsi="宋体"/>
                <w:color w:val="auto"/>
                <w:szCs w:val="21"/>
              </w:rPr>
              <w:t>企业</w:t>
            </w:r>
          </w:p>
        </w:tc>
        <w:tc>
          <w:tcPr>
            <w:tcW w:w="2099" w:type="dxa"/>
            <w:vAlign w:val="center"/>
          </w:tcPr>
          <w:p>
            <w:pPr>
              <w:jc w:val="center"/>
              <w:rPr>
                <w:rFonts w:hint="eastAsia" w:ascii="宋体" w:hAnsi="宋体" w:eastAsia="宋体"/>
                <w:color w:val="auto"/>
                <w:szCs w:val="21"/>
                <w:lang w:eastAsia="zh-CN"/>
              </w:rPr>
            </w:pPr>
            <w:r>
              <w:rPr>
                <w:rFonts w:hint="eastAsia" w:ascii="宋体" w:hAnsi="宋体"/>
                <w:color w:val="auto"/>
                <w:szCs w:val="21"/>
                <w:lang w:val="en-US" w:eastAsia="zh-CN"/>
              </w:rPr>
              <w:t>8%（含生育保险1%）</w:t>
            </w:r>
          </w:p>
        </w:tc>
        <w:tc>
          <w:tcPr>
            <w:tcW w:w="2235" w:type="dxa"/>
            <w:vAlign w:val="center"/>
          </w:tcPr>
          <w:p>
            <w:pPr>
              <w:jc w:val="center"/>
              <w:rPr>
                <w:rFonts w:hint="eastAsia" w:ascii="宋体" w:hAnsi="宋体" w:eastAsia="宋体"/>
                <w:color w:val="auto"/>
                <w:szCs w:val="21"/>
                <w:lang w:eastAsia="zh-CN"/>
              </w:rPr>
            </w:pPr>
            <w:r>
              <w:rPr>
                <w:rFonts w:hint="eastAsia" w:ascii="宋体" w:hAnsi="宋体"/>
                <w:color w:val="auto"/>
                <w:szCs w:val="21"/>
                <w:lang w:val="en-US" w:eastAsia="zh-CN"/>
              </w:rPr>
              <w:t>2%</w:t>
            </w:r>
          </w:p>
        </w:tc>
        <w:tc>
          <w:tcPr>
            <w:tcW w:w="2451" w:type="dxa"/>
            <w:vAlign w:val="center"/>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51" w:type="dxa"/>
            <w:vMerge w:val="continue"/>
            <w:vAlign w:val="center"/>
          </w:tcPr>
          <w:p>
            <w:pPr>
              <w:jc w:val="center"/>
              <w:rPr>
                <w:rFonts w:hint="eastAsia" w:ascii="宋体" w:hAnsi="宋体"/>
                <w:color w:val="auto"/>
                <w:szCs w:val="21"/>
              </w:rPr>
            </w:pPr>
          </w:p>
        </w:tc>
        <w:tc>
          <w:tcPr>
            <w:tcW w:w="1772" w:type="dxa"/>
            <w:vAlign w:val="center"/>
          </w:tcPr>
          <w:p>
            <w:pPr>
              <w:jc w:val="center"/>
              <w:rPr>
                <w:rFonts w:ascii="宋体" w:hAnsi="宋体"/>
                <w:color w:val="auto"/>
                <w:szCs w:val="21"/>
              </w:rPr>
            </w:pPr>
            <w:r>
              <w:rPr>
                <w:rFonts w:hint="eastAsia" w:ascii="宋体" w:hAnsi="宋体"/>
                <w:color w:val="auto"/>
                <w:szCs w:val="21"/>
              </w:rPr>
              <w:t>灵活就业人员</w:t>
            </w:r>
          </w:p>
        </w:tc>
        <w:tc>
          <w:tcPr>
            <w:tcW w:w="6785" w:type="dxa"/>
            <w:gridSpan w:val="3"/>
            <w:vAlign w:val="center"/>
          </w:tcPr>
          <w:p>
            <w:pPr>
              <w:jc w:val="center"/>
              <w:rPr>
                <w:rFonts w:hint="eastAsia" w:ascii="宋体" w:hAnsi="宋体" w:eastAsia="宋体"/>
                <w:color w:val="auto"/>
                <w:szCs w:val="21"/>
                <w:lang w:eastAsia="zh-CN"/>
              </w:rPr>
            </w:pPr>
            <w:r>
              <w:rPr>
                <w:rFonts w:hint="eastAsia" w:ascii="宋体" w:hAnsi="宋体"/>
                <w:color w:val="auto"/>
                <w:szCs w:val="21"/>
                <w:lang w:val="en-US" w:eastAsia="zh-CN"/>
              </w:rPr>
              <w:t>9%</w:t>
            </w:r>
          </w:p>
        </w:tc>
      </w:tr>
    </w:tbl>
    <w:p>
      <w:pPr>
        <w:jc w:val="center"/>
        <w:rPr>
          <w:rFonts w:hint="eastAsia" w:ascii="黑体" w:hAnsi="黑体" w:eastAsia="黑体" w:cs="黑体"/>
          <w:color w:val="auto"/>
          <w:sz w:val="32"/>
          <w:szCs w:val="32"/>
        </w:rPr>
      </w:pPr>
    </w:p>
    <w:p>
      <w:pPr>
        <w:jc w:val="both"/>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表2.职工大额医疗补助和补充保险筹资政策</w:t>
      </w:r>
    </w:p>
    <w:tbl>
      <w:tblPr>
        <w:tblStyle w:val="15"/>
        <w:tblW w:w="10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7"/>
        <w:gridCol w:w="1650"/>
        <w:gridCol w:w="3138"/>
        <w:gridCol w:w="2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97" w:type="dxa"/>
            <w:vAlign w:val="center"/>
          </w:tcPr>
          <w:p>
            <w:pPr>
              <w:jc w:val="center"/>
              <w:rPr>
                <w:color w:val="auto"/>
              </w:rPr>
            </w:pPr>
            <w:r>
              <w:rPr>
                <w:rFonts w:hint="eastAsia"/>
                <w:color w:val="auto"/>
              </w:rPr>
              <w:t>类别</w:t>
            </w:r>
          </w:p>
        </w:tc>
        <w:tc>
          <w:tcPr>
            <w:tcW w:w="1650" w:type="dxa"/>
            <w:vAlign w:val="center"/>
          </w:tcPr>
          <w:p>
            <w:pPr>
              <w:jc w:val="center"/>
              <w:rPr>
                <w:rFonts w:hint="eastAsia" w:eastAsia="宋体"/>
                <w:color w:val="auto"/>
                <w:lang w:eastAsia="zh-CN"/>
              </w:rPr>
            </w:pPr>
            <w:r>
              <w:rPr>
                <w:rFonts w:hint="eastAsia"/>
                <w:color w:val="auto"/>
                <w:lang w:eastAsia="zh-CN"/>
              </w:rPr>
              <w:t>统筹基金划拨</w:t>
            </w:r>
            <w:r>
              <w:rPr>
                <w:rFonts w:hint="eastAsia"/>
                <w:color w:val="auto"/>
              </w:rPr>
              <w:t>额</w:t>
            </w:r>
            <w:r>
              <w:rPr>
                <w:rFonts w:hint="eastAsia" w:ascii="宋体" w:hAnsi="宋体" w:cs="宋体"/>
                <w:color w:val="auto"/>
              </w:rPr>
              <w:t>/人/年（元）</w:t>
            </w:r>
          </w:p>
        </w:tc>
        <w:tc>
          <w:tcPr>
            <w:tcW w:w="3138" w:type="dxa"/>
            <w:vAlign w:val="center"/>
          </w:tcPr>
          <w:p>
            <w:pPr>
              <w:jc w:val="center"/>
              <w:rPr>
                <w:rFonts w:hint="eastAsia" w:eastAsia="宋体"/>
                <w:color w:val="auto"/>
                <w:lang w:eastAsia="zh-CN"/>
              </w:rPr>
            </w:pPr>
            <w:r>
              <w:rPr>
                <w:rFonts w:hint="eastAsia"/>
                <w:color w:val="auto"/>
              </w:rPr>
              <w:t>个人</w:t>
            </w:r>
            <w:r>
              <w:rPr>
                <w:rFonts w:hint="eastAsia"/>
                <w:color w:val="auto"/>
                <w:lang w:eastAsia="zh-CN"/>
              </w:rPr>
              <w:t>缴费标准</w:t>
            </w:r>
          </w:p>
        </w:tc>
        <w:tc>
          <w:tcPr>
            <w:tcW w:w="2892" w:type="dxa"/>
            <w:vAlign w:val="center"/>
          </w:tcPr>
          <w:p>
            <w:pPr>
              <w:jc w:val="center"/>
              <w:rPr>
                <w:rFonts w:hint="eastAsia" w:eastAsia="宋体"/>
                <w:color w:val="auto"/>
                <w:lang w:eastAsia="zh-CN"/>
              </w:rPr>
            </w:pPr>
            <w:r>
              <w:rPr>
                <w:rFonts w:hint="eastAsia"/>
                <w:color w:val="auto"/>
              </w:rPr>
              <w:t>单位</w:t>
            </w:r>
            <w:r>
              <w:rPr>
                <w:rFonts w:hint="eastAsia"/>
                <w:color w:val="auto"/>
                <w:lang w:eastAsia="zh-CN"/>
              </w:rPr>
              <w:t>缴费标准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97" w:type="dxa"/>
            <w:vMerge w:val="restart"/>
            <w:vAlign w:val="center"/>
          </w:tcPr>
          <w:p>
            <w:pPr>
              <w:jc w:val="center"/>
              <w:rPr>
                <w:color w:val="auto"/>
              </w:rPr>
            </w:pPr>
            <w:r>
              <w:rPr>
                <w:rFonts w:hint="eastAsia"/>
                <w:color w:val="auto"/>
              </w:rPr>
              <w:t>职工大额补助</w:t>
            </w:r>
          </w:p>
        </w:tc>
        <w:tc>
          <w:tcPr>
            <w:tcW w:w="1650" w:type="dxa"/>
            <w:vMerge w:val="restart"/>
            <w:vAlign w:val="center"/>
          </w:tcPr>
          <w:p>
            <w:pPr>
              <w:jc w:val="center"/>
              <w:rPr>
                <w:rFonts w:hint="default" w:eastAsia="宋体"/>
                <w:color w:val="auto"/>
                <w:lang w:val="en-US" w:eastAsia="zh-CN"/>
              </w:rPr>
            </w:pPr>
            <w:r>
              <w:rPr>
                <w:rFonts w:hint="eastAsia"/>
                <w:color w:val="auto"/>
                <w:lang w:val="en-US" w:eastAsia="zh-CN"/>
              </w:rPr>
              <w:t>20</w:t>
            </w:r>
          </w:p>
        </w:tc>
        <w:tc>
          <w:tcPr>
            <w:tcW w:w="6030" w:type="dxa"/>
            <w:gridSpan w:val="2"/>
            <w:vAlign w:val="center"/>
          </w:tcPr>
          <w:p>
            <w:pPr>
              <w:jc w:val="center"/>
              <w:rPr>
                <w:rFonts w:ascii="宋体" w:hAnsi="宋体" w:cs="宋体"/>
                <w:color w:val="auto"/>
              </w:rPr>
            </w:pPr>
            <w:r>
              <w:rPr>
                <w:rFonts w:hint="eastAsia"/>
                <w:color w:val="auto"/>
              </w:rPr>
              <w:t>在职人员筹资额/人</w:t>
            </w:r>
            <w:r>
              <w:rPr>
                <w:rFonts w:hint="eastAsia" w:ascii="宋体" w:hAnsi="宋体" w:cs="宋体"/>
                <w:color w:val="auto"/>
              </w:rPr>
              <w:t>/年（元）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97" w:type="dxa"/>
            <w:vMerge w:val="continue"/>
            <w:vAlign w:val="center"/>
          </w:tcPr>
          <w:p>
            <w:pPr>
              <w:jc w:val="center"/>
              <w:rPr>
                <w:color w:val="auto"/>
              </w:rPr>
            </w:pPr>
          </w:p>
        </w:tc>
        <w:tc>
          <w:tcPr>
            <w:tcW w:w="1650" w:type="dxa"/>
            <w:vMerge w:val="continue"/>
            <w:vAlign w:val="center"/>
          </w:tcPr>
          <w:p>
            <w:pPr>
              <w:jc w:val="center"/>
              <w:rPr>
                <w:color w:val="auto"/>
              </w:rPr>
            </w:pPr>
          </w:p>
        </w:tc>
        <w:tc>
          <w:tcPr>
            <w:tcW w:w="3138" w:type="dxa"/>
            <w:vAlign w:val="center"/>
          </w:tcPr>
          <w:p>
            <w:pPr>
              <w:jc w:val="center"/>
              <w:rPr>
                <w:rFonts w:hint="eastAsia"/>
                <w:color w:val="auto"/>
              </w:rPr>
            </w:pPr>
            <w:r>
              <w:rPr>
                <w:rFonts w:hint="eastAsia"/>
                <w:color w:val="auto"/>
              </w:rPr>
              <w:t>单位</w:t>
            </w:r>
          </w:p>
        </w:tc>
        <w:tc>
          <w:tcPr>
            <w:tcW w:w="2892" w:type="dxa"/>
            <w:vAlign w:val="center"/>
          </w:tcPr>
          <w:p>
            <w:pPr>
              <w:jc w:val="center"/>
              <w:rPr>
                <w:rFonts w:hint="eastAsia"/>
                <w:color w:val="auto"/>
              </w:rPr>
            </w:pPr>
            <w:r>
              <w:rPr>
                <w:rFonts w:hint="eastAsia"/>
                <w:color w:val="auto"/>
              </w:rPr>
              <w:t>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697" w:type="dxa"/>
            <w:vMerge w:val="continue"/>
            <w:vAlign w:val="center"/>
          </w:tcPr>
          <w:p>
            <w:pPr>
              <w:jc w:val="center"/>
              <w:rPr>
                <w:color w:val="auto"/>
              </w:rPr>
            </w:pPr>
          </w:p>
        </w:tc>
        <w:tc>
          <w:tcPr>
            <w:tcW w:w="1650" w:type="dxa"/>
            <w:vMerge w:val="continue"/>
            <w:vAlign w:val="center"/>
          </w:tcPr>
          <w:p>
            <w:pPr>
              <w:jc w:val="center"/>
              <w:rPr>
                <w:color w:val="auto"/>
              </w:rPr>
            </w:pPr>
          </w:p>
        </w:tc>
        <w:tc>
          <w:tcPr>
            <w:tcW w:w="3138" w:type="dxa"/>
            <w:vAlign w:val="center"/>
          </w:tcPr>
          <w:p>
            <w:pPr>
              <w:jc w:val="center"/>
              <w:rPr>
                <w:rFonts w:hint="eastAsia"/>
                <w:color w:val="auto"/>
              </w:rPr>
            </w:pPr>
            <w:r>
              <w:rPr>
                <w:rFonts w:hint="eastAsia"/>
                <w:color w:val="auto"/>
              </w:rPr>
              <w:t>60</w:t>
            </w:r>
          </w:p>
        </w:tc>
        <w:tc>
          <w:tcPr>
            <w:tcW w:w="2892" w:type="dxa"/>
            <w:vAlign w:val="center"/>
          </w:tcPr>
          <w:p>
            <w:pPr>
              <w:jc w:val="center"/>
              <w:rPr>
                <w:rFonts w:hint="eastAsia"/>
                <w:color w:val="auto"/>
              </w:rPr>
            </w:pPr>
            <w:r>
              <w:rPr>
                <w:rFonts w:hint="eastAsia"/>
                <w:color w:val="auto"/>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97" w:type="dxa"/>
            <w:vMerge w:val="continue"/>
            <w:vAlign w:val="center"/>
          </w:tcPr>
          <w:p>
            <w:pPr>
              <w:jc w:val="center"/>
              <w:rPr>
                <w:color w:val="auto"/>
              </w:rPr>
            </w:pPr>
          </w:p>
        </w:tc>
        <w:tc>
          <w:tcPr>
            <w:tcW w:w="1650" w:type="dxa"/>
            <w:vMerge w:val="continue"/>
            <w:vAlign w:val="center"/>
          </w:tcPr>
          <w:p>
            <w:pPr>
              <w:jc w:val="center"/>
              <w:rPr>
                <w:color w:val="auto"/>
              </w:rPr>
            </w:pPr>
          </w:p>
        </w:tc>
        <w:tc>
          <w:tcPr>
            <w:tcW w:w="6030" w:type="dxa"/>
            <w:gridSpan w:val="2"/>
            <w:vAlign w:val="center"/>
          </w:tcPr>
          <w:p>
            <w:pPr>
              <w:jc w:val="center"/>
              <w:rPr>
                <w:rFonts w:hint="eastAsia"/>
                <w:color w:val="auto"/>
                <w:lang w:eastAsia="zh-CN"/>
              </w:rPr>
            </w:pPr>
            <w:r>
              <w:rPr>
                <w:rFonts w:hint="eastAsia"/>
                <w:color w:val="auto"/>
                <w:lang w:eastAsia="zh-CN"/>
              </w:rPr>
              <w:t>灵活就业人员</w:t>
            </w:r>
            <w:r>
              <w:rPr>
                <w:rFonts w:hint="eastAsia"/>
                <w:color w:val="auto"/>
              </w:rPr>
              <w:t>筹资额/人/年（元）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97" w:type="dxa"/>
            <w:vMerge w:val="continue"/>
            <w:vAlign w:val="center"/>
          </w:tcPr>
          <w:p>
            <w:pPr>
              <w:jc w:val="center"/>
              <w:rPr>
                <w:color w:val="auto"/>
              </w:rPr>
            </w:pPr>
          </w:p>
        </w:tc>
        <w:tc>
          <w:tcPr>
            <w:tcW w:w="1650" w:type="dxa"/>
            <w:vMerge w:val="continue"/>
            <w:vAlign w:val="center"/>
          </w:tcPr>
          <w:p>
            <w:pPr>
              <w:jc w:val="center"/>
              <w:rPr>
                <w:color w:val="auto"/>
              </w:rPr>
            </w:pPr>
          </w:p>
        </w:tc>
        <w:tc>
          <w:tcPr>
            <w:tcW w:w="6030" w:type="dxa"/>
            <w:gridSpan w:val="2"/>
            <w:vAlign w:val="center"/>
          </w:tcPr>
          <w:p>
            <w:pPr>
              <w:jc w:val="center"/>
              <w:rPr>
                <w:rFonts w:hint="default"/>
                <w:color w:val="auto"/>
                <w:lang w:val="en-US" w:eastAsia="zh-CN"/>
              </w:rPr>
            </w:pPr>
            <w:r>
              <w:rPr>
                <w:rFonts w:hint="eastAsia"/>
                <w:color w:val="auto"/>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97" w:type="dxa"/>
            <w:vMerge w:val="continue"/>
            <w:vAlign w:val="center"/>
          </w:tcPr>
          <w:p>
            <w:pPr>
              <w:jc w:val="center"/>
              <w:rPr>
                <w:color w:val="auto"/>
              </w:rPr>
            </w:pPr>
          </w:p>
        </w:tc>
        <w:tc>
          <w:tcPr>
            <w:tcW w:w="1650" w:type="dxa"/>
            <w:vMerge w:val="continue"/>
            <w:vAlign w:val="center"/>
          </w:tcPr>
          <w:p>
            <w:pPr>
              <w:jc w:val="center"/>
              <w:rPr>
                <w:color w:val="auto"/>
              </w:rPr>
            </w:pPr>
          </w:p>
        </w:tc>
        <w:tc>
          <w:tcPr>
            <w:tcW w:w="6030" w:type="dxa"/>
            <w:gridSpan w:val="2"/>
            <w:vAlign w:val="center"/>
          </w:tcPr>
          <w:p>
            <w:pPr>
              <w:jc w:val="center"/>
              <w:rPr>
                <w:rFonts w:hint="eastAsia"/>
                <w:color w:val="auto"/>
              </w:rPr>
            </w:pPr>
            <w:r>
              <w:rPr>
                <w:rFonts w:hint="eastAsia"/>
                <w:color w:val="auto"/>
              </w:rPr>
              <w:t>退休人员筹资额</w:t>
            </w:r>
            <w:r>
              <w:rPr>
                <w:rFonts w:hint="eastAsia" w:ascii="宋体" w:hAnsi="宋体" w:cs="宋体"/>
                <w:color w:val="auto"/>
              </w:rPr>
              <w:t>/人/年（元）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97" w:type="dxa"/>
            <w:vMerge w:val="continue"/>
            <w:vAlign w:val="center"/>
          </w:tcPr>
          <w:p>
            <w:pPr>
              <w:jc w:val="center"/>
              <w:rPr>
                <w:color w:val="auto"/>
              </w:rPr>
            </w:pPr>
          </w:p>
        </w:tc>
        <w:tc>
          <w:tcPr>
            <w:tcW w:w="1650" w:type="dxa"/>
            <w:vMerge w:val="continue"/>
            <w:vAlign w:val="center"/>
          </w:tcPr>
          <w:p>
            <w:pPr>
              <w:jc w:val="center"/>
              <w:rPr>
                <w:color w:val="auto"/>
              </w:rPr>
            </w:pPr>
          </w:p>
        </w:tc>
        <w:tc>
          <w:tcPr>
            <w:tcW w:w="6030" w:type="dxa"/>
            <w:gridSpan w:val="2"/>
            <w:vAlign w:val="center"/>
          </w:tcPr>
          <w:p>
            <w:pPr>
              <w:jc w:val="center"/>
              <w:rPr>
                <w:color w:val="auto"/>
              </w:rPr>
            </w:pPr>
            <w:r>
              <w:rPr>
                <w:rFonts w:hint="eastAsia"/>
                <w:color w:val="auto"/>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97" w:type="dxa"/>
            <w:vMerge w:val="restart"/>
            <w:vAlign w:val="center"/>
          </w:tcPr>
          <w:p>
            <w:pPr>
              <w:jc w:val="center"/>
              <w:rPr>
                <w:color w:val="auto"/>
              </w:rPr>
            </w:pPr>
            <w:r>
              <w:rPr>
                <w:rFonts w:hint="eastAsia"/>
                <w:color w:val="auto"/>
              </w:rPr>
              <w:t>公务员补充保险（市直）</w:t>
            </w:r>
          </w:p>
        </w:tc>
        <w:tc>
          <w:tcPr>
            <w:tcW w:w="7680" w:type="dxa"/>
            <w:gridSpan w:val="3"/>
            <w:vAlign w:val="center"/>
          </w:tcPr>
          <w:p>
            <w:pPr>
              <w:jc w:val="center"/>
              <w:rPr>
                <w:color w:val="auto"/>
              </w:rPr>
            </w:pPr>
            <w:r>
              <w:rPr>
                <w:rFonts w:hint="eastAsia"/>
                <w:color w:val="auto"/>
              </w:rPr>
              <w:t>单位筹资比例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697" w:type="dxa"/>
            <w:vMerge w:val="continue"/>
            <w:vAlign w:val="center"/>
          </w:tcPr>
          <w:p>
            <w:pPr>
              <w:jc w:val="center"/>
              <w:rPr>
                <w:color w:val="auto"/>
              </w:rPr>
            </w:pPr>
          </w:p>
        </w:tc>
        <w:tc>
          <w:tcPr>
            <w:tcW w:w="7680" w:type="dxa"/>
            <w:gridSpan w:val="3"/>
            <w:vAlign w:val="center"/>
          </w:tcPr>
          <w:p>
            <w:pPr>
              <w:jc w:val="center"/>
              <w:rPr>
                <w:color w:val="auto"/>
              </w:rPr>
            </w:pPr>
            <w:r>
              <w:rPr>
                <w:rFonts w:hint="eastAsia"/>
                <w:color w:val="auto"/>
              </w:rPr>
              <w:t>2%</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3</w:t>
      </w:r>
      <w:r>
        <w:rPr>
          <w:rFonts w:hint="eastAsia" w:ascii="黑体" w:hAnsi="黑体" w:eastAsia="黑体" w:cs="黑体"/>
          <w:color w:val="auto"/>
          <w:sz w:val="32"/>
          <w:szCs w:val="32"/>
        </w:rPr>
        <w:t>.职工医保住院报销政策</w:t>
      </w:r>
    </w:p>
    <w:tbl>
      <w:tblPr>
        <w:tblStyle w:val="15"/>
        <w:tblW w:w="10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887"/>
        <w:gridCol w:w="1062"/>
        <w:gridCol w:w="854"/>
        <w:gridCol w:w="1095"/>
        <w:gridCol w:w="909"/>
        <w:gridCol w:w="1982"/>
        <w:gridCol w:w="974"/>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restart"/>
            <w:vAlign w:val="center"/>
          </w:tcPr>
          <w:p>
            <w:pPr>
              <w:jc w:val="center"/>
              <w:rPr>
                <w:color w:val="auto"/>
              </w:rPr>
            </w:pPr>
            <w:r>
              <w:rPr>
                <w:rFonts w:hint="eastAsia"/>
                <w:color w:val="auto"/>
              </w:rPr>
              <w:t>类别</w:t>
            </w:r>
          </w:p>
        </w:tc>
        <w:tc>
          <w:tcPr>
            <w:tcW w:w="1949" w:type="dxa"/>
            <w:gridSpan w:val="2"/>
            <w:vAlign w:val="top"/>
          </w:tcPr>
          <w:p>
            <w:pPr>
              <w:rPr>
                <w:color w:val="auto"/>
              </w:rPr>
            </w:pPr>
            <w:r>
              <w:rPr>
                <w:rFonts w:hint="eastAsia"/>
                <w:color w:val="auto"/>
              </w:rPr>
              <w:t>一级医疗机构</w:t>
            </w:r>
          </w:p>
        </w:tc>
        <w:tc>
          <w:tcPr>
            <w:tcW w:w="1949" w:type="dxa"/>
            <w:gridSpan w:val="2"/>
            <w:vAlign w:val="top"/>
          </w:tcPr>
          <w:p>
            <w:pPr>
              <w:rPr>
                <w:color w:val="auto"/>
              </w:rPr>
            </w:pPr>
            <w:r>
              <w:rPr>
                <w:rFonts w:hint="eastAsia"/>
                <w:color w:val="auto"/>
              </w:rPr>
              <w:t>二级医疗机构</w:t>
            </w:r>
          </w:p>
        </w:tc>
        <w:tc>
          <w:tcPr>
            <w:tcW w:w="2891" w:type="dxa"/>
            <w:gridSpan w:val="2"/>
            <w:vAlign w:val="top"/>
          </w:tcPr>
          <w:p>
            <w:pPr>
              <w:rPr>
                <w:color w:val="auto"/>
              </w:rPr>
            </w:pPr>
            <w:r>
              <w:rPr>
                <w:rFonts w:hint="eastAsia"/>
                <w:color w:val="auto"/>
              </w:rPr>
              <w:t>三级医疗机构</w:t>
            </w:r>
          </w:p>
        </w:tc>
        <w:tc>
          <w:tcPr>
            <w:tcW w:w="974" w:type="dxa"/>
            <w:vMerge w:val="restart"/>
            <w:vAlign w:val="center"/>
          </w:tcPr>
          <w:p>
            <w:pPr>
              <w:jc w:val="center"/>
              <w:rPr>
                <w:color w:val="auto"/>
              </w:rPr>
            </w:pPr>
            <w:r>
              <w:rPr>
                <w:rFonts w:hint="eastAsia"/>
                <w:color w:val="auto"/>
                <w:lang w:eastAsia="zh-CN"/>
              </w:rPr>
              <w:t>年度支付限额</w:t>
            </w:r>
            <w:r>
              <w:rPr>
                <w:rFonts w:hint="eastAsia"/>
                <w:color w:val="auto"/>
              </w:rPr>
              <w:t>（元）</w:t>
            </w:r>
          </w:p>
        </w:tc>
        <w:tc>
          <w:tcPr>
            <w:tcW w:w="1486" w:type="dxa"/>
            <w:vMerge w:val="restart"/>
            <w:vAlign w:val="center"/>
          </w:tcPr>
          <w:p>
            <w:pPr>
              <w:jc w:val="center"/>
              <w:rPr>
                <w:color w:val="auto"/>
              </w:rPr>
            </w:pPr>
            <w:r>
              <w:rPr>
                <w:rFonts w:hint="eastAsia"/>
                <w:color w:val="auto"/>
              </w:rPr>
              <w:t>其他政策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continue"/>
            <w:vAlign w:val="top"/>
          </w:tcPr>
          <w:p>
            <w:pPr>
              <w:rPr>
                <w:color w:val="auto"/>
              </w:rPr>
            </w:pPr>
          </w:p>
        </w:tc>
        <w:tc>
          <w:tcPr>
            <w:tcW w:w="887" w:type="dxa"/>
            <w:vAlign w:val="top"/>
          </w:tcPr>
          <w:p>
            <w:pPr>
              <w:rPr>
                <w:color w:val="auto"/>
              </w:rPr>
            </w:pPr>
            <w:r>
              <w:rPr>
                <w:rFonts w:hint="eastAsia"/>
                <w:color w:val="auto"/>
              </w:rPr>
              <w:t>起付线（元）</w:t>
            </w:r>
          </w:p>
        </w:tc>
        <w:tc>
          <w:tcPr>
            <w:tcW w:w="1062" w:type="dxa"/>
            <w:vAlign w:val="top"/>
          </w:tcPr>
          <w:p>
            <w:pPr>
              <w:rPr>
                <w:rFonts w:hint="eastAsia"/>
                <w:color w:val="auto"/>
              </w:rPr>
            </w:pPr>
            <w:r>
              <w:rPr>
                <w:rFonts w:hint="eastAsia"/>
                <w:color w:val="auto"/>
              </w:rPr>
              <w:t>报销比例</w:t>
            </w:r>
          </w:p>
          <w:p>
            <w:pPr>
              <w:rPr>
                <w:color w:val="auto"/>
              </w:rPr>
            </w:pPr>
            <w:r>
              <w:rPr>
                <w:rFonts w:hint="eastAsia"/>
                <w:color w:val="auto"/>
              </w:rPr>
              <w:t>（%）</w:t>
            </w:r>
          </w:p>
        </w:tc>
        <w:tc>
          <w:tcPr>
            <w:tcW w:w="854" w:type="dxa"/>
            <w:vAlign w:val="top"/>
          </w:tcPr>
          <w:p>
            <w:pPr>
              <w:rPr>
                <w:color w:val="auto"/>
              </w:rPr>
            </w:pPr>
            <w:r>
              <w:rPr>
                <w:rFonts w:hint="eastAsia"/>
                <w:color w:val="auto"/>
              </w:rPr>
              <w:t>起付线（元）</w:t>
            </w:r>
          </w:p>
        </w:tc>
        <w:tc>
          <w:tcPr>
            <w:tcW w:w="1095" w:type="dxa"/>
            <w:vAlign w:val="top"/>
          </w:tcPr>
          <w:p>
            <w:pPr>
              <w:rPr>
                <w:color w:val="auto"/>
              </w:rPr>
            </w:pPr>
            <w:r>
              <w:rPr>
                <w:rFonts w:hint="eastAsia"/>
                <w:color w:val="auto"/>
              </w:rPr>
              <w:t>报销比例</w:t>
            </w:r>
            <w:r>
              <w:rPr>
                <w:rFonts w:hint="eastAsia"/>
                <w:color w:val="auto"/>
                <w:lang w:eastAsia="zh-CN"/>
              </w:rPr>
              <w:t>（</w:t>
            </w:r>
            <w:r>
              <w:rPr>
                <w:rFonts w:hint="eastAsia"/>
                <w:color w:val="auto"/>
                <w:lang w:val="en-US" w:eastAsia="zh-CN"/>
              </w:rPr>
              <w:t>%）</w:t>
            </w:r>
          </w:p>
        </w:tc>
        <w:tc>
          <w:tcPr>
            <w:tcW w:w="909" w:type="dxa"/>
            <w:vAlign w:val="top"/>
          </w:tcPr>
          <w:p>
            <w:pPr>
              <w:rPr>
                <w:color w:val="auto"/>
              </w:rPr>
            </w:pPr>
            <w:r>
              <w:rPr>
                <w:rFonts w:hint="eastAsia"/>
                <w:color w:val="auto"/>
              </w:rPr>
              <w:t>起付线（元）</w:t>
            </w:r>
          </w:p>
        </w:tc>
        <w:tc>
          <w:tcPr>
            <w:tcW w:w="1982" w:type="dxa"/>
            <w:vAlign w:val="top"/>
          </w:tcPr>
          <w:p>
            <w:pPr>
              <w:rPr>
                <w:rFonts w:hint="default" w:eastAsia="宋体"/>
                <w:color w:val="auto"/>
                <w:lang w:val="en-US" w:eastAsia="zh-CN"/>
              </w:rPr>
            </w:pPr>
            <w:r>
              <w:rPr>
                <w:rFonts w:hint="eastAsia"/>
                <w:color w:val="auto"/>
              </w:rPr>
              <w:t>报销比例</w:t>
            </w:r>
            <w:r>
              <w:rPr>
                <w:rFonts w:hint="eastAsia"/>
                <w:color w:val="auto"/>
                <w:lang w:eastAsia="zh-CN"/>
              </w:rPr>
              <w:t>（</w:t>
            </w:r>
            <w:r>
              <w:rPr>
                <w:rFonts w:hint="eastAsia"/>
                <w:color w:val="auto"/>
                <w:lang w:val="en-US" w:eastAsia="zh-CN"/>
              </w:rPr>
              <w:t>%）</w:t>
            </w:r>
          </w:p>
        </w:tc>
        <w:tc>
          <w:tcPr>
            <w:tcW w:w="974" w:type="dxa"/>
            <w:vMerge w:val="continue"/>
            <w:vAlign w:val="top"/>
          </w:tcPr>
          <w:p>
            <w:pPr>
              <w:rPr>
                <w:color w:val="auto"/>
              </w:rPr>
            </w:pPr>
          </w:p>
        </w:tc>
        <w:tc>
          <w:tcPr>
            <w:tcW w:w="1486" w:type="dxa"/>
            <w:vMerge w:val="continue"/>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7" w:type="dxa"/>
            <w:vAlign w:val="center"/>
          </w:tcPr>
          <w:p>
            <w:pPr>
              <w:rPr>
                <w:color w:val="auto"/>
              </w:rPr>
            </w:pPr>
            <w:r>
              <w:rPr>
                <w:rFonts w:hint="eastAsia"/>
                <w:color w:val="auto"/>
              </w:rPr>
              <w:t>基本医保</w:t>
            </w:r>
          </w:p>
        </w:tc>
        <w:tc>
          <w:tcPr>
            <w:tcW w:w="887" w:type="dxa"/>
            <w:vAlign w:val="center"/>
          </w:tcPr>
          <w:p>
            <w:pPr>
              <w:rPr>
                <w:color w:val="auto"/>
              </w:rPr>
            </w:pPr>
            <w:r>
              <w:rPr>
                <w:rFonts w:hint="eastAsia"/>
                <w:color w:val="auto"/>
              </w:rPr>
              <w:t>200</w:t>
            </w:r>
          </w:p>
        </w:tc>
        <w:tc>
          <w:tcPr>
            <w:tcW w:w="1062" w:type="dxa"/>
            <w:vAlign w:val="center"/>
          </w:tcPr>
          <w:p>
            <w:pPr>
              <w:jc w:val="left"/>
              <w:rPr>
                <w:rFonts w:hint="eastAsia"/>
                <w:color w:val="auto"/>
              </w:rPr>
            </w:pPr>
            <w:r>
              <w:rPr>
                <w:rFonts w:hint="eastAsia"/>
                <w:color w:val="auto"/>
              </w:rPr>
              <w:t>在职90%，</w:t>
            </w:r>
          </w:p>
          <w:p>
            <w:pPr>
              <w:jc w:val="left"/>
              <w:rPr>
                <w:color w:val="auto"/>
              </w:rPr>
            </w:pPr>
            <w:r>
              <w:rPr>
                <w:rFonts w:hint="eastAsia"/>
                <w:color w:val="auto"/>
              </w:rPr>
              <w:t>退休95%</w:t>
            </w:r>
          </w:p>
        </w:tc>
        <w:tc>
          <w:tcPr>
            <w:tcW w:w="854" w:type="dxa"/>
            <w:vAlign w:val="center"/>
          </w:tcPr>
          <w:p>
            <w:pPr>
              <w:rPr>
                <w:color w:val="auto"/>
              </w:rPr>
            </w:pPr>
            <w:r>
              <w:rPr>
                <w:rFonts w:hint="eastAsia"/>
                <w:color w:val="auto"/>
              </w:rPr>
              <w:t>600</w:t>
            </w:r>
          </w:p>
        </w:tc>
        <w:tc>
          <w:tcPr>
            <w:tcW w:w="1095" w:type="dxa"/>
            <w:vAlign w:val="center"/>
          </w:tcPr>
          <w:p>
            <w:pPr>
              <w:jc w:val="left"/>
              <w:rPr>
                <w:rFonts w:hint="eastAsia"/>
                <w:color w:val="auto"/>
              </w:rPr>
            </w:pPr>
            <w:r>
              <w:rPr>
                <w:rFonts w:hint="eastAsia"/>
                <w:color w:val="auto"/>
              </w:rPr>
              <w:t>在职：</w:t>
            </w:r>
            <w:r>
              <w:rPr>
                <w:rFonts w:hint="eastAsia"/>
                <w:color w:val="auto"/>
                <w:lang w:val="en-US" w:eastAsia="zh-CN"/>
              </w:rPr>
              <w:t>90</w:t>
            </w:r>
            <w:r>
              <w:rPr>
                <w:rFonts w:hint="eastAsia"/>
                <w:color w:val="auto"/>
              </w:rPr>
              <w:t>%；</w:t>
            </w:r>
          </w:p>
          <w:p>
            <w:pPr>
              <w:jc w:val="left"/>
              <w:rPr>
                <w:color w:val="auto"/>
              </w:rPr>
            </w:pPr>
            <w:r>
              <w:rPr>
                <w:rFonts w:hint="eastAsia"/>
                <w:color w:val="auto"/>
              </w:rPr>
              <w:t>退休：</w:t>
            </w:r>
            <w:r>
              <w:rPr>
                <w:rFonts w:hint="eastAsia"/>
                <w:color w:val="auto"/>
                <w:lang w:val="en-US" w:eastAsia="zh-CN"/>
              </w:rPr>
              <w:t>95</w:t>
            </w:r>
            <w:r>
              <w:rPr>
                <w:rFonts w:hint="eastAsia"/>
                <w:color w:val="auto"/>
              </w:rPr>
              <w:t>%</w:t>
            </w:r>
          </w:p>
        </w:tc>
        <w:tc>
          <w:tcPr>
            <w:tcW w:w="909" w:type="dxa"/>
            <w:vAlign w:val="center"/>
          </w:tcPr>
          <w:p>
            <w:pPr>
              <w:rPr>
                <w:color w:val="auto"/>
              </w:rPr>
            </w:pPr>
            <w:r>
              <w:rPr>
                <w:rFonts w:hint="eastAsia"/>
                <w:color w:val="auto"/>
              </w:rPr>
              <w:t>700</w:t>
            </w:r>
          </w:p>
        </w:tc>
        <w:tc>
          <w:tcPr>
            <w:tcW w:w="1982" w:type="dxa"/>
            <w:vAlign w:val="center"/>
          </w:tcPr>
          <w:p>
            <w:pPr>
              <w:jc w:val="left"/>
              <w:rPr>
                <w:rFonts w:hint="eastAsia" w:eastAsia="宋体"/>
                <w:color w:val="auto"/>
                <w:lang w:eastAsia="zh-CN"/>
              </w:rPr>
            </w:pPr>
            <w:r>
              <w:rPr>
                <w:rFonts w:hint="eastAsia" w:cs="Times New Roman"/>
                <w:color w:val="auto"/>
                <w:lang w:eastAsia="zh-CN"/>
              </w:rPr>
              <w:t>支付</w:t>
            </w:r>
            <w:r>
              <w:rPr>
                <w:rFonts w:hint="eastAsia" w:ascii="Times New Roman" w:hAnsi="Times New Roman" w:eastAsia="宋体" w:cs="Times New Roman"/>
                <w:color w:val="auto"/>
                <w:lang w:eastAsia="zh-CN"/>
              </w:rPr>
              <w:t>1万</w:t>
            </w:r>
            <w:r>
              <w:rPr>
                <w:rFonts w:hint="eastAsia" w:cs="Times New Roman"/>
                <w:color w:val="auto"/>
                <w:lang w:eastAsia="zh-CN"/>
              </w:rPr>
              <w:t>元</w:t>
            </w:r>
            <w:r>
              <w:rPr>
                <w:rFonts w:hint="eastAsia" w:ascii="Times New Roman" w:hAnsi="Times New Roman" w:eastAsia="宋体" w:cs="Times New Roman"/>
                <w:color w:val="auto"/>
                <w:lang w:eastAsia="zh-CN"/>
              </w:rPr>
              <w:t>以</w:t>
            </w:r>
            <w:r>
              <w:rPr>
                <w:rFonts w:hint="eastAsia" w:cs="Times New Roman"/>
                <w:color w:val="auto"/>
                <w:lang w:eastAsia="zh-CN"/>
              </w:rPr>
              <w:t>内</w:t>
            </w:r>
            <w:r>
              <w:rPr>
                <w:rFonts w:hint="eastAsia" w:ascii="Times New Roman" w:hAnsi="Times New Roman" w:eastAsia="宋体" w:cs="Times New Roman"/>
                <w:color w:val="auto"/>
                <w:lang w:eastAsia="zh-CN"/>
              </w:rPr>
              <w:t>在职85%,退休92.5%;</w:t>
            </w:r>
            <w:r>
              <w:rPr>
                <w:rFonts w:hint="eastAsia" w:cs="Times New Roman"/>
                <w:color w:val="auto"/>
                <w:lang w:eastAsia="zh-CN"/>
              </w:rPr>
              <w:t>支付</w:t>
            </w:r>
            <w:r>
              <w:rPr>
                <w:rFonts w:hint="eastAsia" w:ascii="Times New Roman" w:hAnsi="Times New Roman" w:eastAsia="宋体" w:cs="Times New Roman"/>
                <w:color w:val="auto"/>
                <w:lang w:eastAsia="zh-CN"/>
              </w:rPr>
              <w:t>1万</w:t>
            </w:r>
            <w:r>
              <w:rPr>
                <w:rFonts w:hint="eastAsia" w:cs="Times New Roman"/>
                <w:color w:val="auto"/>
                <w:lang w:eastAsia="zh-CN"/>
              </w:rPr>
              <w:t>元</w:t>
            </w:r>
            <w:r>
              <w:rPr>
                <w:rFonts w:hint="eastAsia" w:ascii="Times New Roman" w:hAnsi="Times New Roman" w:eastAsia="宋体" w:cs="Times New Roman"/>
                <w:color w:val="auto"/>
                <w:lang w:eastAsia="zh-CN"/>
              </w:rPr>
              <w:t>及以上在职90%,退休95%</w:t>
            </w:r>
          </w:p>
        </w:tc>
        <w:tc>
          <w:tcPr>
            <w:tcW w:w="974" w:type="dxa"/>
            <w:vAlign w:val="center"/>
          </w:tcPr>
          <w:p>
            <w:pPr>
              <w:rPr>
                <w:color w:val="auto"/>
              </w:rPr>
            </w:pPr>
            <w:r>
              <w:rPr>
                <w:rFonts w:hint="eastAsia"/>
                <w:color w:val="auto"/>
              </w:rPr>
              <w:t>20万</w:t>
            </w:r>
          </w:p>
        </w:tc>
        <w:tc>
          <w:tcPr>
            <w:tcW w:w="1486" w:type="dxa"/>
            <w:vAlign w:val="center"/>
          </w:tcPr>
          <w:p>
            <w:pPr>
              <w:rPr>
                <w:rFonts w:hint="eastAsia" w:eastAsia="宋体"/>
                <w:color w:val="auto"/>
                <w:lang w:eastAsia="zh-CN"/>
              </w:rPr>
            </w:pPr>
            <w:r>
              <w:rPr>
                <w:rFonts w:hint="eastAsia"/>
                <w:color w:val="auto"/>
              </w:rPr>
              <w:t>一个自然年度内第二次住院</w:t>
            </w:r>
            <w:r>
              <w:rPr>
                <w:rFonts w:hint="eastAsia"/>
                <w:color w:val="auto"/>
                <w:lang w:eastAsia="zh-CN"/>
              </w:rPr>
              <w:t>起付标准减半</w:t>
            </w:r>
            <w:r>
              <w:rPr>
                <w:rFonts w:hint="eastAsia"/>
                <w:color w:val="auto"/>
              </w:rPr>
              <w:t>，第三次</w:t>
            </w:r>
            <w:r>
              <w:rPr>
                <w:rFonts w:hint="eastAsia"/>
                <w:color w:val="auto"/>
                <w:lang w:eastAsia="zh-CN"/>
              </w:rPr>
              <w:t>取消</w:t>
            </w:r>
            <w:r>
              <w:rPr>
                <w:rFonts w:hint="eastAsia"/>
                <w:color w:val="auto"/>
              </w:rPr>
              <w:t>起付线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147" w:type="dxa"/>
            <w:vAlign w:val="center"/>
          </w:tcPr>
          <w:p>
            <w:pPr>
              <w:rPr>
                <w:color w:val="auto"/>
              </w:rPr>
            </w:pPr>
            <w:r>
              <w:rPr>
                <w:rFonts w:hint="eastAsia"/>
                <w:color w:val="auto"/>
              </w:rPr>
              <w:t>职工大额</w:t>
            </w:r>
            <w:r>
              <w:rPr>
                <w:rFonts w:hint="eastAsia"/>
                <w:color w:val="auto"/>
                <w:lang w:eastAsia="zh-CN"/>
              </w:rPr>
              <w:t>医疗费用</w:t>
            </w:r>
            <w:r>
              <w:rPr>
                <w:rFonts w:hint="eastAsia"/>
                <w:color w:val="auto"/>
              </w:rPr>
              <w:t>补助</w:t>
            </w:r>
          </w:p>
        </w:tc>
        <w:tc>
          <w:tcPr>
            <w:tcW w:w="9249" w:type="dxa"/>
            <w:gridSpan w:val="8"/>
            <w:vAlign w:val="center"/>
          </w:tcPr>
          <w:p>
            <w:pPr>
              <w:rPr>
                <w:color w:val="auto"/>
              </w:rPr>
            </w:pPr>
            <w:r>
              <w:rPr>
                <w:rFonts w:hint="eastAsia"/>
                <w:color w:val="auto"/>
                <w:lang w:eastAsia="zh-CN"/>
              </w:rPr>
              <w:t>职工大额与职工大病合并，经基本医保、公务员医疗补助支付后个人负担的政策范围内医疗费用，超过</w:t>
            </w:r>
            <w:r>
              <w:rPr>
                <w:rFonts w:hint="eastAsia"/>
                <w:color w:val="auto"/>
                <w:lang w:val="en-US" w:eastAsia="zh-CN"/>
              </w:rPr>
              <w:t>1.5万的部分，按90%支付，年度最高支付限额是60万元</w:t>
            </w:r>
            <w:r>
              <w:rPr>
                <w:rFonts w:hint="eastAsia"/>
                <w:color w:val="auto"/>
                <w:lang w:eastAsia="zh-CN"/>
              </w:rPr>
              <w:t>，年度内累计计算。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47" w:type="dxa"/>
            <w:vAlign w:val="center"/>
          </w:tcPr>
          <w:p>
            <w:pPr>
              <w:rPr>
                <w:rFonts w:hint="eastAsia" w:eastAsia="宋体"/>
                <w:color w:val="auto"/>
                <w:lang w:eastAsia="zh-CN"/>
              </w:rPr>
            </w:pPr>
            <w:r>
              <w:rPr>
                <w:rFonts w:hint="eastAsia"/>
                <w:color w:val="auto"/>
                <w:sz w:val="18"/>
                <w:szCs w:val="18"/>
                <w:lang w:eastAsia="zh-CN"/>
              </w:rPr>
              <w:t>公务员补助</w:t>
            </w:r>
          </w:p>
        </w:tc>
        <w:tc>
          <w:tcPr>
            <w:tcW w:w="9249" w:type="dxa"/>
            <w:gridSpan w:val="8"/>
            <w:vAlign w:val="center"/>
          </w:tcPr>
          <w:p>
            <w:pPr>
              <w:rPr>
                <w:rFonts w:hint="eastAsia"/>
                <w:color w:val="auto"/>
              </w:rPr>
            </w:pPr>
            <w:r>
              <w:rPr>
                <w:rFonts w:hint="eastAsia"/>
                <w:color w:val="auto"/>
              </w:rPr>
              <w:t>住院和门诊慢</w:t>
            </w:r>
            <w:r>
              <w:rPr>
                <w:rFonts w:hint="eastAsia"/>
                <w:color w:val="auto"/>
                <w:lang w:eastAsia="zh-CN"/>
              </w:rPr>
              <w:t>特</w:t>
            </w:r>
            <w:r>
              <w:rPr>
                <w:rFonts w:hint="eastAsia"/>
                <w:color w:val="auto"/>
              </w:rPr>
              <w:t>病医保政策范围内个人自付部分按照50%报销</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4</w:t>
      </w:r>
      <w:r>
        <w:rPr>
          <w:rFonts w:hint="eastAsia" w:ascii="黑体" w:hAnsi="黑体" w:eastAsia="黑体" w:cs="黑体"/>
          <w:color w:val="auto"/>
          <w:sz w:val="32"/>
          <w:szCs w:val="32"/>
        </w:rPr>
        <w:t>.职工普通门诊报销政策</w:t>
      </w:r>
    </w:p>
    <w:tbl>
      <w:tblPr>
        <w:tblStyle w:val="15"/>
        <w:tblW w:w="10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1298"/>
        <w:gridCol w:w="1345"/>
        <w:gridCol w:w="1440"/>
        <w:gridCol w:w="1389"/>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47" w:type="dxa"/>
            <w:vMerge w:val="restart"/>
            <w:vAlign w:val="center"/>
          </w:tcPr>
          <w:p>
            <w:pPr>
              <w:jc w:val="center"/>
              <w:rPr>
                <w:rFonts w:hint="eastAsia" w:eastAsia="宋体"/>
                <w:color w:val="auto"/>
                <w:lang w:eastAsia="zh-CN"/>
              </w:rPr>
            </w:pPr>
            <w:r>
              <w:rPr>
                <w:rFonts w:hint="eastAsia"/>
                <w:color w:val="auto"/>
                <w:lang w:eastAsia="zh-CN"/>
              </w:rPr>
              <w:t>医疗机构级别</w:t>
            </w:r>
          </w:p>
        </w:tc>
        <w:tc>
          <w:tcPr>
            <w:tcW w:w="1298" w:type="dxa"/>
            <w:vMerge w:val="restart"/>
            <w:vAlign w:val="center"/>
          </w:tcPr>
          <w:p>
            <w:pPr>
              <w:jc w:val="center"/>
              <w:rPr>
                <w:color w:val="auto"/>
              </w:rPr>
            </w:pPr>
            <w:r>
              <w:rPr>
                <w:rFonts w:hint="eastAsia"/>
                <w:color w:val="auto"/>
              </w:rPr>
              <w:t>起付线（元）</w:t>
            </w:r>
          </w:p>
        </w:tc>
        <w:tc>
          <w:tcPr>
            <w:tcW w:w="2785" w:type="dxa"/>
            <w:gridSpan w:val="2"/>
            <w:vAlign w:val="center"/>
          </w:tcPr>
          <w:p>
            <w:pPr>
              <w:jc w:val="center"/>
              <w:rPr>
                <w:color w:val="auto"/>
              </w:rPr>
            </w:pPr>
            <w:r>
              <w:rPr>
                <w:rFonts w:hint="eastAsia"/>
                <w:color w:val="auto"/>
              </w:rPr>
              <w:t>报销比例</w:t>
            </w:r>
          </w:p>
        </w:tc>
        <w:tc>
          <w:tcPr>
            <w:tcW w:w="1389" w:type="dxa"/>
            <w:vMerge w:val="restart"/>
            <w:vAlign w:val="center"/>
          </w:tcPr>
          <w:p>
            <w:pPr>
              <w:jc w:val="center"/>
              <w:rPr>
                <w:color w:val="auto"/>
                <w:kern w:val="2"/>
                <w:sz w:val="21"/>
                <w:szCs w:val="24"/>
                <w:lang w:val="en-US" w:eastAsia="zh-CN" w:bidi="ar-SA"/>
              </w:rPr>
            </w:pPr>
            <w:r>
              <w:rPr>
                <w:rFonts w:hint="eastAsia"/>
                <w:color w:val="auto"/>
                <w:lang w:eastAsia="zh-CN"/>
              </w:rPr>
              <w:t>年度支付限额</w:t>
            </w:r>
            <w:r>
              <w:rPr>
                <w:rFonts w:hint="eastAsia"/>
                <w:color w:val="auto"/>
              </w:rPr>
              <w:t>（元）</w:t>
            </w:r>
          </w:p>
        </w:tc>
        <w:tc>
          <w:tcPr>
            <w:tcW w:w="2919" w:type="dxa"/>
            <w:vMerge w:val="restart"/>
            <w:vAlign w:val="center"/>
          </w:tcPr>
          <w:p>
            <w:pPr>
              <w:jc w:val="center"/>
              <w:rPr>
                <w:rFonts w:hint="eastAsia" w:eastAsia="宋体"/>
                <w:color w:val="auto"/>
                <w:lang w:eastAsia="zh-CN"/>
              </w:rPr>
            </w:pPr>
            <w:r>
              <w:rPr>
                <w:rFonts w:hint="eastAsia"/>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47" w:type="dxa"/>
            <w:vMerge w:val="continue"/>
            <w:vAlign w:val="center"/>
          </w:tcPr>
          <w:p>
            <w:pPr>
              <w:jc w:val="center"/>
              <w:rPr>
                <w:color w:val="auto"/>
              </w:rPr>
            </w:pPr>
          </w:p>
        </w:tc>
        <w:tc>
          <w:tcPr>
            <w:tcW w:w="1298" w:type="dxa"/>
            <w:vMerge w:val="continue"/>
            <w:vAlign w:val="center"/>
          </w:tcPr>
          <w:p>
            <w:pPr>
              <w:jc w:val="center"/>
              <w:rPr>
                <w:color w:val="auto"/>
              </w:rPr>
            </w:pPr>
          </w:p>
        </w:tc>
        <w:tc>
          <w:tcPr>
            <w:tcW w:w="1345" w:type="dxa"/>
            <w:vAlign w:val="center"/>
          </w:tcPr>
          <w:p>
            <w:pPr>
              <w:jc w:val="center"/>
              <w:rPr>
                <w:rFonts w:hint="eastAsia" w:eastAsia="宋体"/>
                <w:color w:val="auto"/>
                <w:lang w:eastAsia="zh-CN"/>
              </w:rPr>
            </w:pPr>
            <w:r>
              <w:rPr>
                <w:rFonts w:hint="eastAsia"/>
                <w:color w:val="auto"/>
                <w:lang w:eastAsia="zh-CN"/>
              </w:rPr>
              <w:t>在职</w:t>
            </w:r>
          </w:p>
        </w:tc>
        <w:tc>
          <w:tcPr>
            <w:tcW w:w="1440" w:type="dxa"/>
            <w:vAlign w:val="center"/>
          </w:tcPr>
          <w:p>
            <w:pPr>
              <w:jc w:val="center"/>
              <w:rPr>
                <w:rFonts w:hint="eastAsia" w:eastAsia="宋体"/>
                <w:color w:val="auto"/>
                <w:lang w:eastAsia="zh-CN"/>
              </w:rPr>
            </w:pPr>
            <w:r>
              <w:rPr>
                <w:rFonts w:hint="eastAsia"/>
                <w:color w:val="auto"/>
                <w:lang w:eastAsia="zh-CN"/>
              </w:rPr>
              <w:t>退休</w:t>
            </w:r>
          </w:p>
        </w:tc>
        <w:tc>
          <w:tcPr>
            <w:tcW w:w="1389" w:type="dxa"/>
            <w:vMerge w:val="continue"/>
            <w:vAlign w:val="center"/>
          </w:tcPr>
          <w:p>
            <w:pPr>
              <w:jc w:val="center"/>
              <w:rPr>
                <w:rFonts w:hint="eastAsia"/>
                <w:color w:val="auto"/>
              </w:rPr>
            </w:pPr>
          </w:p>
        </w:tc>
        <w:tc>
          <w:tcPr>
            <w:tcW w:w="2919" w:type="dxa"/>
            <w:vMerge w:val="continue"/>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047" w:type="dxa"/>
            <w:vAlign w:val="center"/>
          </w:tcPr>
          <w:p>
            <w:pPr>
              <w:jc w:val="center"/>
              <w:rPr>
                <w:rFonts w:hint="eastAsia" w:eastAsia="宋体"/>
                <w:color w:val="auto"/>
                <w:lang w:eastAsia="zh-CN"/>
              </w:rPr>
            </w:pPr>
            <w:r>
              <w:rPr>
                <w:rFonts w:hint="eastAsia"/>
                <w:color w:val="auto"/>
                <w:lang w:eastAsia="zh-CN"/>
              </w:rPr>
              <w:t>一级及以下</w:t>
            </w:r>
          </w:p>
        </w:tc>
        <w:tc>
          <w:tcPr>
            <w:tcW w:w="1298" w:type="dxa"/>
            <w:vAlign w:val="center"/>
          </w:tcPr>
          <w:p>
            <w:pPr>
              <w:jc w:val="center"/>
              <w:rPr>
                <w:rFonts w:hint="default" w:eastAsia="宋体"/>
                <w:color w:val="auto"/>
                <w:lang w:val="en-US" w:eastAsia="zh-CN"/>
              </w:rPr>
            </w:pPr>
            <w:r>
              <w:rPr>
                <w:rFonts w:hint="eastAsia"/>
                <w:color w:val="auto"/>
                <w:lang w:val="en-US" w:eastAsia="zh-CN"/>
              </w:rPr>
              <w:t>200</w:t>
            </w:r>
          </w:p>
        </w:tc>
        <w:tc>
          <w:tcPr>
            <w:tcW w:w="1345" w:type="dxa"/>
            <w:vAlign w:val="center"/>
          </w:tcPr>
          <w:p>
            <w:pPr>
              <w:jc w:val="center"/>
              <w:rPr>
                <w:rFonts w:hint="default"/>
                <w:color w:val="auto"/>
                <w:lang w:val="en-US" w:eastAsia="zh-CN"/>
              </w:rPr>
            </w:pPr>
            <w:r>
              <w:rPr>
                <w:rFonts w:hint="eastAsia"/>
                <w:color w:val="auto"/>
                <w:lang w:val="en-US" w:eastAsia="zh-CN"/>
              </w:rPr>
              <w:t>80%</w:t>
            </w:r>
          </w:p>
        </w:tc>
        <w:tc>
          <w:tcPr>
            <w:tcW w:w="1440" w:type="dxa"/>
            <w:vAlign w:val="center"/>
          </w:tcPr>
          <w:p>
            <w:pPr>
              <w:jc w:val="center"/>
              <w:rPr>
                <w:rFonts w:hint="default" w:eastAsia="宋体"/>
                <w:color w:val="auto"/>
                <w:lang w:val="en-US" w:eastAsia="zh-CN"/>
              </w:rPr>
            </w:pPr>
            <w:r>
              <w:rPr>
                <w:rFonts w:hint="eastAsia"/>
                <w:color w:val="auto"/>
                <w:lang w:val="en-US" w:eastAsia="zh-CN"/>
              </w:rPr>
              <w:t>85%</w:t>
            </w:r>
          </w:p>
        </w:tc>
        <w:tc>
          <w:tcPr>
            <w:tcW w:w="1389" w:type="dxa"/>
            <w:vMerge w:val="restart"/>
            <w:vAlign w:val="center"/>
          </w:tcPr>
          <w:p>
            <w:pPr>
              <w:jc w:val="center"/>
              <w:rPr>
                <w:rFonts w:hint="eastAsia"/>
                <w:color w:val="auto"/>
                <w:lang w:val="en-US" w:eastAsia="zh-CN"/>
              </w:rPr>
            </w:pPr>
            <w:r>
              <w:rPr>
                <w:rFonts w:hint="eastAsia"/>
                <w:color w:val="auto"/>
                <w:lang w:val="en-US" w:eastAsia="zh-CN"/>
              </w:rPr>
              <w:t>在职3500</w:t>
            </w:r>
          </w:p>
          <w:p>
            <w:pPr>
              <w:jc w:val="center"/>
              <w:rPr>
                <w:rFonts w:hint="default"/>
                <w:color w:val="auto"/>
                <w:lang w:val="en-US" w:eastAsia="zh-CN"/>
              </w:rPr>
            </w:pPr>
            <w:r>
              <w:rPr>
                <w:rFonts w:hint="eastAsia"/>
                <w:color w:val="auto"/>
                <w:lang w:val="en-US" w:eastAsia="zh-CN"/>
              </w:rPr>
              <w:t>退休4500</w:t>
            </w:r>
          </w:p>
        </w:tc>
        <w:tc>
          <w:tcPr>
            <w:tcW w:w="2919" w:type="dxa"/>
            <w:vMerge w:val="restart"/>
            <w:vAlign w:val="center"/>
          </w:tcPr>
          <w:p>
            <w:pPr>
              <w:jc w:val="center"/>
              <w:rPr>
                <w:rFonts w:hint="default" w:eastAsia="宋体"/>
                <w:color w:val="auto"/>
                <w:lang w:val="en-US" w:eastAsia="zh-CN"/>
              </w:rPr>
            </w:pPr>
            <w:r>
              <w:rPr>
                <w:rFonts w:hint="eastAsia"/>
                <w:color w:val="auto"/>
                <w:lang w:eastAsia="zh-CN"/>
              </w:rPr>
              <w:t>年度内累计计算，超过统筹基金年度支付限额，进入职工大额医疗费用补助，按</w:t>
            </w:r>
            <w:r>
              <w:rPr>
                <w:rFonts w:hint="eastAsia"/>
                <w:color w:val="auto"/>
                <w:lang w:val="en-US" w:eastAsia="zh-CN"/>
              </w:rPr>
              <w:t>80%比例支付，最高支付1000元。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047" w:type="dxa"/>
            <w:vAlign w:val="center"/>
          </w:tcPr>
          <w:p>
            <w:pPr>
              <w:jc w:val="center"/>
              <w:rPr>
                <w:rFonts w:hint="eastAsia" w:eastAsia="宋体"/>
                <w:color w:val="auto"/>
                <w:lang w:eastAsia="zh-CN"/>
              </w:rPr>
            </w:pPr>
            <w:r>
              <w:rPr>
                <w:rFonts w:hint="eastAsia"/>
                <w:color w:val="auto"/>
                <w:lang w:eastAsia="zh-CN"/>
              </w:rPr>
              <w:t>二级</w:t>
            </w:r>
          </w:p>
        </w:tc>
        <w:tc>
          <w:tcPr>
            <w:tcW w:w="1298" w:type="dxa"/>
            <w:vAlign w:val="center"/>
          </w:tcPr>
          <w:p>
            <w:pPr>
              <w:jc w:val="center"/>
              <w:rPr>
                <w:rFonts w:hint="default" w:eastAsia="宋体"/>
                <w:color w:val="auto"/>
                <w:lang w:val="en-US" w:eastAsia="zh-CN"/>
              </w:rPr>
            </w:pPr>
            <w:r>
              <w:rPr>
                <w:rFonts w:hint="eastAsia"/>
                <w:color w:val="auto"/>
                <w:lang w:val="en-US" w:eastAsia="zh-CN"/>
              </w:rPr>
              <w:t>300</w:t>
            </w:r>
          </w:p>
        </w:tc>
        <w:tc>
          <w:tcPr>
            <w:tcW w:w="1345" w:type="dxa"/>
            <w:vAlign w:val="center"/>
          </w:tcPr>
          <w:p>
            <w:pPr>
              <w:jc w:val="center"/>
              <w:rPr>
                <w:rFonts w:hint="default"/>
                <w:color w:val="auto"/>
                <w:lang w:val="en-US" w:eastAsia="zh-CN"/>
              </w:rPr>
            </w:pPr>
            <w:r>
              <w:rPr>
                <w:rFonts w:hint="eastAsia"/>
                <w:color w:val="auto"/>
                <w:lang w:val="en-US" w:eastAsia="zh-CN"/>
              </w:rPr>
              <w:t>70%</w:t>
            </w:r>
          </w:p>
        </w:tc>
        <w:tc>
          <w:tcPr>
            <w:tcW w:w="1440" w:type="dxa"/>
            <w:vAlign w:val="center"/>
          </w:tcPr>
          <w:p>
            <w:pPr>
              <w:jc w:val="center"/>
              <w:rPr>
                <w:rFonts w:hint="default" w:eastAsia="宋体"/>
                <w:color w:val="auto"/>
                <w:lang w:val="en-US" w:eastAsia="zh-CN"/>
              </w:rPr>
            </w:pPr>
            <w:r>
              <w:rPr>
                <w:rFonts w:hint="eastAsia"/>
                <w:color w:val="auto"/>
                <w:lang w:val="en-US" w:eastAsia="zh-CN"/>
              </w:rPr>
              <w:t>75%</w:t>
            </w:r>
          </w:p>
        </w:tc>
        <w:tc>
          <w:tcPr>
            <w:tcW w:w="1389" w:type="dxa"/>
            <w:vMerge w:val="continue"/>
            <w:vAlign w:val="center"/>
          </w:tcPr>
          <w:p>
            <w:pPr>
              <w:jc w:val="center"/>
              <w:rPr>
                <w:rFonts w:hint="default"/>
                <w:color w:val="auto"/>
                <w:lang w:val="en-US" w:eastAsia="zh-CN"/>
              </w:rPr>
            </w:pPr>
          </w:p>
        </w:tc>
        <w:tc>
          <w:tcPr>
            <w:tcW w:w="2919"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047" w:type="dxa"/>
            <w:vAlign w:val="center"/>
          </w:tcPr>
          <w:p>
            <w:pPr>
              <w:jc w:val="center"/>
              <w:rPr>
                <w:rFonts w:hint="eastAsia"/>
                <w:color w:val="auto"/>
                <w:lang w:eastAsia="zh-CN"/>
              </w:rPr>
            </w:pPr>
            <w:r>
              <w:rPr>
                <w:rFonts w:hint="eastAsia"/>
                <w:color w:val="auto"/>
                <w:lang w:eastAsia="zh-CN"/>
              </w:rPr>
              <w:t>三级</w:t>
            </w:r>
          </w:p>
        </w:tc>
        <w:tc>
          <w:tcPr>
            <w:tcW w:w="1298" w:type="dxa"/>
            <w:vAlign w:val="center"/>
          </w:tcPr>
          <w:p>
            <w:pPr>
              <w:jc w:val="center"/>
              <w:rPr>
                <w:rFonts w:hint="default"/>
                <w:color w:val="auto"/>
                <w:lang w:val="en-US" w:eastAsia="zh-CN"/>
              </w:rPr>
            </w:pPr>
            <w:r>
              <w:rPr>
                <w:rFonts w:hint="eastAsia"/>
                <w:color w:val="auto"/>
                <w:lang w:val="en-US" w:eastAsia="zh-CN"/>
              </w:rPr>
              <w:t>400</w:t>
            </w:r>
          </w:p>
        </w:tc>
        <w:tc>
          <w:tcPr>
            <w:tcW w:w="1345" w:type="dxa"/>
            <w:vAlign w:val="center"/>
          </w:tcPr>
          <w:p>
            <w:pPr>
              <w:jc w:val="center"/>
              <w:rPr>
                <w:rFonts w:hint="default"/>
                <w:color w:val="auto"/>
                <w:lang w:val="en-US" w:eastAsia="zh-CN"/>
              </w:rPr>
            </w:pPr>
            <w:r>
              <w:rPr>
                <w:rFonts w:hint="eastAsia"/>
                <w:color w:val="auto"/>
                <w:lang w:val="en-US" w:eastAsia="zh-CN"/>
              </w:rPr>
              <w:t>65%</w:t>
            </w:r>
          </w:p>
        </w:tc>
        <w:tc>
          <w:tcPr>
            <w:tcW w:w="1440" w:type="dxa"/>
            <w:vAlign w:val="center"/>
          </w:tcPr>
          <w:p>
            <w:pPr>
              <w:jc w:val="center"/>
              <w:rPr>
                <w:rFonts w:hint="default"/>
                <w:color w:val="auto"/>
                <w:lang w:val="en-US" w:eastAsia="zh-CN"/>
              </w:rPr>
            </w:pPr>
            <w:r>
              <w:rPr>
                <w:rFonts w:hint="eastAsia"/>
                <w:color w:val="auto"/>
                <w:lang w:val="en-US" w:eastAsia="zh-CN"/>
              </w:rPr>
              <w:t>70%</w:t>
            </w:r>
          </w:p>
        </w:tc>
        <w:tc>
          <w:tcPr>
            <w:tcW w:w="1389" w:type="dxa"/>
            <w:vMerge w:val="continue"/>
            <w:vAlign w:val="center"/>
          </w:tcPr>
          <w:p>
            <w:pPr>
              <w:jc w:val="center"/>
              <w:rPr>
                <w:rFonts w:hint="eastAsia"/>
                <w:color w:val="auto"/>
                <w:lang w:val="en-US" w:eastAsia="zh-CN"/>
              </w:rPr>
            </w:pPr>
          </w:p>
        </w:tc>
        <w:tc>
          <w:tcPr>
            <w:tcW w:w="2919" w:type="dxa"/>
            <w:vMerge w:val="continue"/>
            <w:vAlign w:val="center"/>
          </w:tcPr>
          <w:p>
            <w:pPr>
              <w:jc w:val="center"/>
              <w:rPr>
                <w:color w:val="auto"/>
              </w:rPr>
            </w:pPr>
          </w:p>
        </w:tc>
      </w:tr>
    </w:tbl>
    <w:p>
      <w:pPr>
        <w:jc w:val="center"/>
        <w:rPr>
          <w:rFonts w:hint="eastAsia" w:ascii="黑体" w:hAnsi="黑体" w:eastAsia="黑体" w:cs="黑体"/>
          <w:color w:val="auto"/>
          <w:sz w:val="32"/>
          <w:szCs w:val="32"/>
          <w:lang w:eastAsia="zh-CN"/>
        </w:rPr>
      </w:pPr>
    </w:p>
    <w:p>
      <w:pPr>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表</w:t>
      </w:r>
      <w:r>
        <w:rPr>
          <w:rFonts w:hint="eastAsia" w:ascii="黑体" w:hAnsi="黑体" w:eastAsia="黑体" w:cs="黑体"/>
          <w:color w:val="auto"/>
          <w:sz w:val="32"/>
          <w:szCs w:val="32"/>
          <w:lang w:val="en-US" w:eastAsia="zh-CN"/>
        </w:rPr>
        <w:t>5.职工门诊慢特病报销政策</w:t>
      </w:r>
    </w:p>
    <w:tbl>
      <w:tblPr>
        <w:tblStyle w:val="15"/>
        <w:tblW w:w="10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6162"/>
        <w:gridCol w:w="900"/>
        <w:gridCol w:w="1084"/>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06" w:type="dxa"/>
            <w:vAlign w:val="center"/>
          </w:tcPr>
          <w:p>
            <w:pPr>
              <w:jc w:val="center"/>
              <w:rPr>
                <w:rFonts w:hint="eastAsia" w:eastAsia="宋体"/>
                <w:color w:val="auto"/>
                <w:lang w:eastAsia="zh-CN"/>
              </w:rPr>
            </w:pPr>
            <w:r>
              <w:rPr>
                <w:rFonts w:hint="eastAsia"/>
                <w:color w:val="auto"/>
              </w:rPr>
              <w:t>病种</w:t>
            </w:r>
            <w:r>
              <w:rPr>
                <w:rFonts w:hint="eastAsia"/>
                <w:color w:val="auto"/>
                <w:lang w:eastAsia="zh-CN"/>
              </w:rPr>
              <w:t>类别</w:t>
            </w:r>
          </w:p>
        </w:tc>
        <w:tc>
          <w:tcPr>
            <w:tcW w:w="6162" w:type="dxa"/>
            <w:vAlign w:val="center"/>
          </w:tcPr>
          <w:p>
            <w:pPr>
              <w:jc w:val="center"/>
              <w:rPr>
                <w:color w:val="auto"/>
              </w:rPr>
            </w:pPr>
            <w:r>
              <w:rPr>
                <w:rFonts w:hint="eastAsia"/>
                <w:color w:val="auto"/>
              </w:rPr>
              <w:t>病种种类</w:t>
            </w:r>
          </w:p>
        </w:tc>
        <w:tc>
          <w:tcPr>
            <w:tcW w:w="900" w:type="dxa"/>
            <w:vAlign w:val="center"/>
          </w:tcPr>
          <w:p>
            <w:pPr>
              <w:jc w:val="center"/>
              <w:rPr>
                <w:color w:val="auto"/>
              </w:rPr>
            </w:pPr>
            <w:r>
              <w:rPr>
                <w:rFonts w:hint="eastAsia"/>
                <w:color w:val="auto"/>
              </w:rPr>
              <w:t>起付线（元）</w:t>
            </w:r>
          </w:p>
        </w:tc>
        <w:tc>
          <w:tcPr>
            <w:tcW w:w="1084" w:type="dxa"/>
            <w:vAlign w:val="center"/>
          </w:tcPr>
          <w:p>
            <w:pPr>
              <w:jc w:val="center"/>
              <w:rPr>
                <w:color w:val="auto"/>
              </w:rPr>
            </w:pPr>
            <w:r>
              <w:rPr>
                <w:rFonts w:hint="eastAsia"/>
                <w:color w:val="auto"/>
              </w:rPr>
              <w:t>报销比例</w:t>
            </w:r>
          </w:p>
        </w:tc>
        <w:tc>
          <w:tcPr>
            <w:tcW w:w="906" w:type="dxa"/>
            <w:vAlign w:val="center"/>
          </w:tcPr>
          <w:p>
            <w:pPr>
              <w:jc w:val="center"/>
              <w:rPr>
                <w:rFonts w:hint="eastAsia" w:eastAsia="宋体"/>
                <w:color w:val="auto"/>
                <w:lang w:eastAsia="zh-CN"/>
              </w:rPr>
            </w:pPr>
            <w:r>
              <w:rPr>
                <w:rFonts w:hint="eastAsia"/>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6" w:type="dxa"/>
            <w:vAlign w:val="center"/>
          </w:tcPr>
          <w:p>
            <w:pPr>
              <w:jc w:val="center"/>
              <w:rPr>
                <w:rFonts w:hint="default"/>
                <w:color w:val="auto"/>
                <w:lang w:val="en-US" w:eastAsia="zh-CN"/>
              </w:rPr>
            </w:pPr>
            <w:r>
              <w:rPr>
                <w:rFonts w:hint="eastAsia"/>
                <w:color w:val="auto"/>
                <w:lang w:val="en-US" w:eastAsia="zh-CN"/>
              </w:rPr>
              <w:t>甲类疾病</w:t>
            </w:r>
          </w:p>
        </w:tc>
        <w:tc>
          <w:tcPr>
            <w:tcW w:w="6162" w:type="dxa"/>
            <w:vAlign w:val="top"/>
          </w:tcPr>
          <w:p>
            <w:pPr>
              <w:widowControl w:val="0"/>
              <w:wordWrap/>
              <w:adjustRightInd/>
              <w:snapToGrid/>
              <w:spacing w:line="280" w:lineRule="exact"/>
              <w:textAlignment w:val="auto"/>
              <w:rPr>
                <w:rFonts w:hint="eastAsia"/>
                <w:color w:val="auto"/>
              </w:rPr>
            </w:pPr>
            <w:r>
              <w:rPr>
                <w:rFonts w:hint="eastAsia" w:eastAsia="宋体"/>
                <w:color w:val="auto"/>
                <w:lang w:val="en-US" w:eastAsia="zh-CN"/>
              </w:rPr>
              <w:t>1</w:t>
            </w:r>
            <w:r>
              <w:rPr>
                <w:rFonts w:hint="eastAsia" w:eastAsia="宋体"/>
                <w:color w:val="auto"/>
                <w:lang w:eastAsia="zh-CN"/>
              </w:rPr>
              <w:t>.</w:t>
            </w:r>
            <w:r>
              <w:rPr>
                <w:rFonts w:hint="eastAsia" w:eastAsia="宋体"/>
                <w:color w:val="auto"/>
                <w:lang w:val="en-US" w:eastAsia="zh-CN"/>
              </w:rPr>
              <w:t>恶性肿瘤门诊治疗</w:t>
            </w:r>
            <w:r>
              <w:rPr>
                <w:rFonts w:hint="eastAsia" w:eastAsia="宋体"/>
                <w:color w:val="auto"/>
                <w:lang w:eastAsia="zh-CN"/>
              </w:rPr>
              <w:t>;</w:t>
            </w:r>
            <w:r>
              <w:rPr>
                <w:rFonts w:hint="eastAsia" w:eastAsia="宋体"/>
                <w:color w:val="auto"/>
                <w:lang w:val="en-US" w:eastAsia="zh-CN"/>
              </w:rPr>
              <w:t>2.白血病；3.尿毒症透析治疗；4.组织器官移植（抗排异治疗）</w:t>
            </w:r>
            <w:r>
              <w:rPr>
                <w:rFonts w:hint="eastAsia" w:eastAsia="宋体"/>
                <w:color w:val="auto"/>
                <w:lang w:eastAsia="zh-CN"/>
              </w:rPr>
              <w:t>;</w:t>
            </w:r>
            <w:r>
              <w:rPr>
                <w:rFonts w:hint="eastAsia" w:eastAsia="宋体"/>
                <w:color w:val="auto"/>
                <w:lang w:val="en-US" w:eastAsia="zh-CN"/>
              </w:rPr>
              <w:t>5.血友病。</w:t>
            </w:r>
          </w:p>
        </w:tc>
        <w:tc>
          <w:tcPr>
            <w:tcW w:w="900" w:type="dxa"/>
            <w:vMerge w:val="restart"/>
            <w:vAlign w:val="center"/>
          </w:tcPr>
          <w:p>
            <w:pPr>
              <w:ind w:firstLine="105" w:firstLineChars="50"/>
              <w:jc w:val="center"/>
              <w:rPr>
                <w:rFonts w:hint="eastAsia" w:ascii="Times New Roman" w:hAnsi="Times New Roman" w:eastAsia="宋体" w:cs="Times New Roman"/>
                <w:color w:val="auto"/>
                <w:lang w:val="en-US" w:eastAsia="zh-CN"/>
              </w:rPr>
            </w:pPr>
          </w:p>
          <w:p>
            <w:pPr>
              <w:ind w:firstLine="105" w:firstLineChars="50"/>
              <w:jc w:val="center"/>
              <w:rPr>
                <w:rFonts w:hint="eastAsia" w:ascii="Times New Roman" w:hAnsi="Times New Roman" w:eastAsia="宋体" w:cs="Times New Roman"/>
                <w:color w:val="auto"/>
                <w:lang w:val="en-US" w:eastAsia="zh-CN"/>
              </w:rPr>
            </w:pPr>
          </w:p>
          <w:p>
            <w:pPr>
              <w:ind w:firstLine="105" w:firstLineChars="50"/>
              <w:jc w:val="center"/>
              <w:rPr>
                <w:rFonts w:hint="eastAsia" w:eastAsia="宋体"/>
                <w:color w:val="auto"/>
                <w:lang w:eastAsia="zh-CN"/>
              </w:rPr>
            </w:pPr>
            <w:r>
              <w:rPr>
                <w:rFonts w:hint="eastAsia" w:ascii="Times New Roman" w:hAnsi="Times New Roman" w:eastAsia="宋体" w:cs="Times New Roman"/>
                <w:color w:val="auto"/>
                <w:lang w:val="en-US" w:eastAsia="zh-CN"/>
              </w:rPr>
              <w:t>700</w:t>
            </w:r>
          </w:p>
        </w:tc>
        <w:tc>
          <w:tcPr>
            <w:tcW w:w="1084" w:type="dxa"/>
            <w:vMerge w:val="restart"/>
            <w:vAlign w:val="center"/>
          </w:tcPr>
          <w:p>
            <w:pPr>
              <w:rPr>
                <w:rFonts w:hint="eastAsia" w:ascii="Times New Roman" w:hAnsi="Times New Roman" w:eastAsia="宋体" w:cs="Times New Roman"/>
                <w:color w:val="auto"/>
                <w:lang w:val="en-US" w:eastAsia="zh-CN"/>
              </w:rPr>
            </w:pPr>
          </w:p>
          <w:p>
            <w:pPr>
              <w:rPr>
                <w:rFonts w:hint="eastAsia" w:ascii="Times New Roman" w:hAnsi="Times New Roman" w:eastAsia="宋体" w:cs="Times New Roman"/>
                <w:color w:val="auto"/>
                <w:lang w:val="en-US" w:eastAsia="zh-CN"/>
              </w:rPr>
            </w:pPr>
          </w:p>
          <w:p>
            <w:pPr>
              <w:rPr>
                <w:rFonts w:hint="eastAsia" w:eastAsia="宋体"/>
                <w:color w:val="auto"/>
                <w:lang w:eastAsia="zh-CN"/>
              </w:rPr>
            </w:pPr>
            <w:r>
              <w:rPr>
                <w:rFonts w:hint="eastAsia" w:ascii="Times New Roman" w:hAnsi="Times New Roman" w:eastAsia="宋体" w:cs="Times New Roman"/>
                <w:color w:val="auto"/>
                <w:lang w:val="en-US" w:eastAsia="zh-CN"/>
              </w:rPr>
              <w:t>执行基本统筹限额，在职85%，退休90%</w:t>
            </w:r>
          </w:p>
        </w:tc>
        <w:tc>
          <w:tcPr>
            <w:tcW w:w="906" w:type="dxa"/>
            <w:vMerge w:val="restart"/>
            <w:vAlign w:val="center"/>
          </w:tcPr>
          <w:p>
            <w:pPr>
              <w:ind w:firstLine="105" w:firstLineChars="50"/>
              <w:rPr>
                <w:rFonts w:hint="eastAsia" w:ascii="Times New Roman" w:hAnsi="Times New Roman" w:eastAsia="宋体" w:cs="Times New Roman"/>
                <w:color w:val="auto"/>
                <w:lang w:val="en-US" w:eastAsia="zh-CN"/>
              </w:rPr>
            </w:pPr>
          </w:p>
          <w:p>
            <w:pPr>
              <w:ind w:firstLine="105" w:firstLineChars="50"/>
              <w:rPr>
                <w:rFonts w:hint="eastAsia" w:ascii="Times New Roman" w:hAnsi="Times New Roman" w:eastAsia="宋体" w:cs="Times New Roman"/>
                <w:color w:val="auto"/>
                <w:lang w:val="en-US" w:eastAsia="zh-CN"/>
              </w:rPr>
            </w:pPr>
          </w:p>
          <w:p>
            <w:pPr>
              <w:rPr>
                <w:rFonts w:hint="default" w:cs="Times New Roman"/>
                <w:color w:val="auto"/>
                <w:lang w:val="en-US" w:eastAsia="zh-CN"/>
              </w:rPr>
            </w:pPr>
            <w:r>
              <w:rPr>
                <w:rFonts w:hint="eastAsia"/>
                <w:color w:val="auto"/>
                <w:lang w:eastAsia="zh-CN"/>
              </w:rPr>
              <w:t>年度支付限额</w:t>
            </w:r>
            <w:r>
              <w:rPr>
                <w:rFonts w:hint="eastAsia" w:ascii="Times New Roman" w:hAnsi="Times New Roman" w:eastAsia="宋体" w:cs="Times New Roman"/>
                <w:color w:val="auto"/>
                <w:lang w:val="en-US" w:eastAsia="zh-CN"/>
              </w:rPr>
              <w:t>2</w:t>
            </w:r>
            <w:r>
              <w:rPr>
                <w:rFonts w:hint="eastAsia" w:cs="Times New Roman"/>
                <w:color w:val="auto"/>
                <w:lang w:val="en-US" w:eastAsia="zh-CN"/>
              </w:rPr>
              <w:t>0</w:t>
            </w:r>
            <w:r>
              <w:rPr>
                <w:rFonts w:hint="eastAsia" w:ascii="Times New Roman" w:hAnsi="Times New Roman" w:eastAsia="宋体" w:cs="Times New Roman"/>
                <w:color w:val="auto"/>
                <w:lang w:val="en-US" w:eastAsia="zh-CN"/>
              </w:rPr>
              <w:t>万</w:t>
            </w:r>
            <w:r>
              <w:rPr>
                <w:rFonts w:hint="eastAsia" w:cs="Times New Roman"/>
                <w:color w:val="auto"/>
                <w:lang w:val="en-US" w:eastAsia="zh-CN"/>
              </w:rPr>
              <w:t>(</w:t>
            </w:r>
            <w:r>
              <w:rPr>
                <w:rFonts w:hint="eastAsia" w:ascii="Times New Roman" w:hAnsi="Times New Roman" w:eastAsia="宋体" w:cs="Times New Roman"/>
                <w:color w:val="auto"/>
                <w:lang w:val="en-US" w:eastAsia="zh-CN"/>
              </w:rPr>
              <w:t>合并住院</w:t>
            </w:r>
            <w:r>
              <w:rPr>
                <w:rFonts w:hint="eastAsia" w:cs="Times New Roman"/>
                <w:color w:val="auto"/>
                <w:lang w:val="en-US" w:eastAsia="zh-CN"/>
              </w:rPr>
              <w:t>);</w:t>
            </w:r>
          </w:p>
          <w:p>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申报慢特病每人不超过4种</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1206" w:type="dxa"/>
            <w:vAlign w:val="center"/>
          </w:tcPr>
          <w:p>
            <w:pPr>
              <w:pStyle w:val="9"/>
              <w:jc w:val="both"/>
              <w:rPr>
                <w:rFonts w:hint="eastAsia" w:eastAsia="宋体"/>
                <w:color w:val="auto"/>
                <w:lang w:eastAsia="zh-CN"/>
              </w:rPr>
            </w:pPr>
            <w:r>
              <w:rPr>
                <w:rFonts w:hint="eastAsia" w:ascii="Times New Roman" w:hAnsi="Times New Roman" w:eastAsia="宋体" w:cs="Times New Roman"/>
                <w:color w:val="auto"/>
                <w:kern w:val="2"/>
                <w:sz w:val="21"/>
                <w:szCs w:val="24"/>
                <w:lang w:val="en-US" w:eastAsia="zh-CN" w:bidi="ar-SA"/>
              </w:rPr>
              <w:t>乙类</w:t>
            </w:r>
            <w:r>
              <w:rPr>
                <w:rFonts w:hint="eastAsia" w:eastAsia="宋体" w:cs="Times New Roman"/>
                <w:color w:val="auto"/>
                <w:kern w:val="2"/>
                <w:sz w:val="21"/>
                <w:szCs w:val="24"/>
                <w:lang w:val="en-US" w:eastAsia="zh-CN" w:bidi="ar-SA"/>
              </w:rPr>
              <w:t>疾病</w:t>
            </w:r>
          </w:p>
        </w:tc>
        <w:tc>
          <w:tcPr>
            <w:tcW w:w="6162" w:type="dxa"/>
            <w:vAlign w:val="top"/>
          </w:tcPr>
          <w:p>
            <w:pPr>
              <w:widowControl w:val="0"/>
              <w:wordWrap/>
              <w:adjustRightInd/>
              <w:snapToGrid/>
              <w:spacing w:line="280" w:lineRule="exact"/>
              <w:textAlignment w:val="auto"/>
              <w:rPr>
                <w:rFonts w:hint="default" w:ascii="Times New Roman" w:hAnsi="Times New Roman" w:eastAsia="宋体" w:cs="Times New Roman"/>
                <w:b/>
                <w:bCs/>
                <w:color w:val="auto"/>
                <w:kern w:val="2"/>
                <w:sz w:val="21"/>
                <w:szCs w:val="24"/>
                <w:lang w:val="en-US" w:eastAsia="zh-CN" w:bidi="ar-SA"/>
              </w:rPr>
            </w:pPr>
            <w:r>
              <w:rPr>
                <w:rFonts w:hint="default"/>
                <w:color w:val="auto"/>
              </w:rPr>
              <w:t>1</w:t>
            </w:r>
            <w:r>
              <w:rPr>
                <w:rFonts w:hint="eastAsia"/>
                <w:color w:val="auto"/>
                <w:lang w:eastAsia="zh-CN"/>
              </w:rPr>
              <w:t>.</w:t>
            </w:r>
            <w:r>
              <w:rPr>
                <w:rFonts w:hint="eastAsia"/>
                <w:color w:val="auto"/>
                <w:lang w:val="en-US" w:eastAsia="zh-CN"/>
              </w:rPr>
              <w:t>骨髓增生异常综合征；2.再生障碍性贫血；3.免疫性血小板减少性紫癜；4.原发性血小板增多症；5.真性红细胞增多症；6.原发性骨髓纤维化；7.高血压病伴并发症；8.冠心病；9.肺源性心脏病；10.慢性心力衰竭；11.慢性肾脏病；12.肾病综合征；13.重症肌无力；14.脑出血（恢复期、后遗症期）；15.脑梗死（恢复期、后遗症期）；16.帕金森病及综合征；17.癫痫；18.运动神经元病；19.肝豆状核变性；20.阿尔茨海默病；21.慢性阻塞性肺疾病；22.肺间质纤维化；23.系统性红斑狼疮；24.类风湿性关节炎；25.多发性肌炎（皮肌炎）；26.系统性血管炎；27.脊柱性关节炎（强直性脊柱炎）；28.系统性硬化症（硬皮病）；29.干燥综合征；30.糖尿病；31.股骨头坏死；32.严重精神障碍；33.其他精神障碍；34.生长激素缺乏症；35.</w:t>
            </w:r>
            <w:r>
              <w:rPr>
                <w:rFonts w:hint="eastAsia" w:eastAsia="宋体"/>
                <w:color w:val="auto"/>
                <w:lang w:val="en-US" w:eastAsia="zh-CN"/>
              </w:rPr>
              <w:t>残疾</w:t>
            </w:r>
            <w:r>
              <w:rPr>
                <w:rFonts w:hint="eastAsia"/>
                <w:color w:val="auto"/>
                <w:lang w:val="en-US" w:eastAsia="zh-CN"/>
              </w:rPr>
              <w:t>儿童康复治疗；36.肺结核及肺外其他部位结核；37.慢性乙肝；38.慢性丙肝；39.肝硬化；40.神经系统良性肿瘤门诊治疗；41.进行性肌营养不良；42.人类免疫缺陷病（</w:t>
            </w:r>
            <w:r>
              <w:rPr>
                <w:rFonts w:hint="eastAsia"/>
                <w:color w:val="auto"/>
                <w:lang w:eastAsia="zh-CN"/>
              </w:rPr>
              <w:t>HIV</w:t>
            </w:r>
            <w:r>
              <w:rPr>
                <w:rFonts w:hint="eastAsia"/>
                <w:color w:val="auto"/>
                <w:lang w:val="en-US" w:eastAsia="zh-CN"/>
              </w:rPr>
              <w:t>）；43.</w:t>
            </w:r>
            <w:r>
              <w:rPr>
                <w:rFonts w:hint="eastAsia" w:eastAsia="宋体"/>
                <w:color w:val="auto"/>
                <w:lang w:val="en-US" w:eastAsia="zh-CN"/>
              </w:rPr>
              <w:t>耐多药结核</w:t>
            </w:r>
            <w:r>
              <w:rPr>
                <w:rFonts w:hint="eastAsia"/>
                <w:color w:val="auto"/>
                <w:lang w:val="en-US" w:eastAsia="zh-CN"/>
              </w:rPr>
              <w:t>、</w:t>
            </w:r>
            <w:r>
              <w:rPr>
                <w:rFonts w:hint="eastAsia" w:eastAsia="宋体"/>
                <w:color w:val="auto"/>
                <w:lang w:val="en-US" w:eastAsia="zh-CN"/>
              </w:rPr>
              <w:t>广泛耐药结核。</w:t>
            </w:r>
          </w:p>
        </w:tc>
        <w:tc>
          <w:tcPr>
            <w:tcW w:w="900"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c>
          <w:tcPr>
            <w:tcW w:w="1084"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c>
          <w:tcPr>
            <w:tcW w:w="906"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206" w:type="dxa"/>
            <w:vAlign w:val="center"/>
          </w:tcPr>
          <w:p>
            <w:pPr>
              <w:pStyle w:val="9"/>
              <w:jc w:val="center"/>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过渡</w:t>
            </w:r>
            <w:r>
              <w:rPr>
                <w:rFonts w:hint="eastAsia" w:eastAsia="宋体" w:cs="Times New Roman"/>
                <w:color w:val="auto"/>
                <w:kern w:val="2"/>
                <w:sz w:val="21"/>
                <w:szCs w:val="24"/>
                <w:lang w:val="en-US" w:eastAsia="zh-CN" w:bidi="ar-SA"/>
              </w:rPr>
              <w:t>期</w:t>
            </w:r>
            <w:r>
              <w:rPr>
                <w:rFonts w:hint="eastAsia" w:ascii="Times New Roman" w:hAnsi="Times New Roman" w:eastAsia="宋体" w:cs="Times New Roman"/>
                <w:color w:val="auto"/>
                <w:kern w:val="2"/>
                <w:sz w:val="21"/>
                <w:szCs w:val="24"/>
                <w:lang w:val="en-US" w:eastAsia="zh-CN" w:bidi="ar-SA"/>
              </w:rPr>
              <w:t>病种（乙类</w:t>
            </w:r>
            <w:r>
              <w:rPr>
                <w:rFonts w:hint="eastAsia" w:eastAsia="宋体" w:cs="Times New Roman"/>
                <w:color w:val="auto"/>
                <w:kern w:val="2"/>
                <w:sz w:val="21"/>
                <w:szCs w:val="24"/>
                <w:lang w:val="en-US" w:eastAsia="zh-CN" w:bidi="ar-SA"/>
              </w:rPr>
              <w:t>疾病</w:t>
            </w:r>
            <w:r>
              <w:rPr>
                <w:rFonts w:hint="eastAsia" w:ascii="Times New Roman" w:hAnsi="Times New Roman" w:eastAsia="宋体" w:cs="Times New Roman"/>
                <w:color w:val="auto"/>
                <w:kern w:val="2"/>
                <w:sz w:val="21"/>
                <w:szCs w:val="24"/>
                <w:lang w:val="en-US" w:eastAsia="zh-CN" w:bidi="ar-SA"/>
              </w:rPr>
              <w:t>管理）</w:t>
            </w:r>
          </w:p>
        </w:tc>
        <w:tc>
          <w:tcPr>
            <w:tcW w:w="6162" w:type="dxa"/>
            <w:vAlign w:val="top"/>
          </w:tcPr>
          <w:p>
            <w:pPr>
              <w:widowControl w:val="0"/>
              <w:numPr>
                <w:ilvl w:val="0"/>
                <w:numId w:val="0"/>
              </w:numPr>
              <w:wordWrap/>
              <w:adjustRightInd/>
              <w:snapToGrid/>
              <w:spacing w:line="280" w:lineRule="exact"/>
              <w:textAlignment w:val="auto"/>
              <w:rPr>
                <w:rFonts w:hint="eastAsia" w:ascii="Times New Roman" w:hAnsi="Times New Roman" w:eastAsia="宋体" w:cs="Times New Roman"/>
                <w:b/>
                <w:bCs/>
                <w:color w:val="auto"/>
                <w:kern w:val="2"/>
                <w:sz w:val="21"/>
                <w:szCs w:val="24"/>
                <w:lang w:val="en-US" w:eastAsia="zh-CN" w:bidi="ar-SA"/>
              </w:rPr>
            </w:pPr>
            <w:r>
              <w:rPr>
                <w:rFonts w:hint="eastAsia"/>
                <w:color w:val="auto"/>
                <w:lang w:val="en-US" w:eastAsia="zh-CN"/>
              </w:rPr>
              <w:t>1.扩张性心肌病；2.风湿性心脏瓣膜病；3.支气管哮喘；4.永久性甲状腺功能减退；5</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脑垂体瘤</w:t>
            </w:r>
            <w:r>
              <w:rPr>
                <w:rFonts w:hint="eastAsia"/>
                <w:color w:val="auto"/>
                <w:lang w:val="en-US" w:eastAsia="zh-CN"/>
              </w:rPr>
              <w:t>；6.溶血性贫血；7.过敏性紫癜并肾病；8.静脉血栓症（含慢性肺栓塞、深静脉血症）；9.慢性肾小球肾炎；10.自身免疫性肝炎（胆汁淤积性肝炎）；11.苯丙酮尿症；</w:t>
            </w:r>
            <w:r>
              <w:rPr>
                <w:rFonts w:hint="eastAsia" w:eastAsia="宋体"/>
                <w:color w:val="auto"/>
                <w:lang w:val="en-US" w:eastAsia="zh-CN"/>
              </w:rPr>
              <w:t>12.银屑病；13.肺动脉高压；14.溃疡性结肠炎；15.克罗恩病。</w:t>
            </w:r>
          </w:p>
        </w:tc>
        <w:tc>
          <w:tcPr>
            <w:tcW w:w="900"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c>
          <w:tcPr>
            <w:tcW w:w="1084"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c>
          <w:tcPr>
            <w:tcW w:w="906"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1206" w:type="dxa"/>
            <w:vAlign w:val="center"/>
          </w:tcPr>
          <w:p>
            <w:pPr>
              <w:pStyle w:val="9"/>
              <w:jc w:val="center"/>
              <w:rPr>
                <w:rFonts w:hint="eastAsia" w:ascii="Times New Roman" w:hAnsi="Times New Roman" w:eastAsia="宋体" w:cs="Times New Roman"/>
                <w:b/>
                <w:bCs/>
                <w:color w:val="auto"/>
                <w:kern w:val="2"/>
                <w:sz w:val="21"/>
                <w:szCs w:val="24"/>
                <w:lang w:val="en-US" w:eastAsia="zh-CN" w:bidi="ar-SA"/>
              </w:rPr>
            </w:pPr>
            <w:r>
              <w:rPr>
                <w:rFonts w:hint="eastAsia" w:eastAsia="宋体" w:cs="Times New Roman"/>
                <w:color w:val="auto"/>
                <w:kern w:val="2"/>
                <w:sz w:val="21"/>
                <w:szCs w:val="24"/>
                <w:lang w:val="en-US" w:eastAsia="zh-CN" w:bidi="ar-SA"/>
              </w:rPr>
              <w:t>门诊</w:t>
            </w:r>
            <w:r>
              <w:rPr>
                <w:rFonts w:hint="eastAsia" w:ascii="Times New Roman" w:hAnsi="Times New Roman" w:eastAsia="宋体" w:cs="Times New Roman"/>
                <w:color w:val="auto"/>
                <w:kern w:val="2"/>
                <w:sz w:val="21"/>
                <w:szCs w:val="24"/>
                <w:lang w:val="en-US" w:eastAsia="zh-CN" w:bidi="ar-SA"/>
              </w:rPr>
              <w:t>药品单独支付病种（乙类</w:t>
            </w:r>
            <w:r>
              <w:rPr>
                <w:rFonts w:hint="eastAsia" w:eastAsia="宋体" w:cs="Times New Roman"/>
                <w:color w:val="auto"/>
                <w:kern w:val="2"/>
                <w:sz w:val="21"/>
                <w:szCs w:val="24"/>
                <w:lang w:val="en-US" w:eastAsia="zh-CN" w:bidi="ar-SA"/>
              </w:rPr>
              <w:t>疾病</w:t>
            </w:r>
            <w:r>
              <w:rPr>
                <w:rFonts w:hint="eastAsia" w:ascii="Times New Roman" w:hAnsi="Times New Roman" w:eastAsia="宋体" w:cs="Times New Roman"/>
                <w:color w:val="auto"/>
                <w:kern w:val="2"/>
                <w:sz w:val="21"/>
                <w:szCs w:val="24"/>
                <w:lang w:val="en-US" w:eastAsia="zh-CN" w:bidi="ar-SA"/>
              </w:rPr>
              <w:t>管理）</w:t>
            </w:r>
          </w:p>
        </w:tc>
        <w:tc>
          <w:tcPr>
            <w:tcW w:w="6162" w:type="dxa"/>
            <w:vAlign w:val="top"/>
          </w:tcPr>
          <w:p>
            <w:pPr>
              <w:pStyle w:val="9"/>
              <w:widowControl w:val="0"/>
              <w:numPr>
                <w:ilvl w:val="0"/>
                <w:numId w:val="0"/>
              </w:numPr>
              <w:wordWrap/>
              <w:adjustRightInd/>
              <w:snapToGrid/>
              <w:spacing w:line="280" w:lineRule="exact"/>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银屑病（过渡期内按慢特病管理）；2</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中重度特应性皮炎；3</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肺动脉高压（过渡期内按慢特病管理）；4</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便秘型肠易激综合征（IBS-C）；5</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克罗恩病（过渡期内按慢特病管理）</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6</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溃疡性结（直）肠炎（过渡期内按慢特病管理）；7</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脊髓性肌萎缩症；8</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亨廷顿舞蹈病；9</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多发性硬化；10</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遗传性血管性水肿（HAE）；11</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C型尼曼匹克病；12</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肢端肥大症；13</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子宫内膜异位症；14</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黄斑病变；15</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戈谢病；16</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庞贝氏病；17</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法布雷病；18</w:t>
            </w:r>
            <w:r>
              <w:rPr>
                <w:rFonts w:hint="eastAsia"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转甲状腺素蛋白淀粉样变性心肌病。</w:t>
            </w:r>
          </w:p>
        </w:tc>
        <w:tc>
          <w:tcPr>
            <w:tcW w:w="900"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c>
          <w:tcPr>
            <w:tcW w:w="1084"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c>
          <w:tcPr>
            <w:tcW w:w="906" w:type="dxa"/>
            <w:vMerge w:val="continue"/>
            <w:vAlign w:val="center"/>
          </w:tcPr>
          <w:p>
            <w:pPr>
              <w:pStyle w:val="9"/>
              <w:rPr>
                <w:rFonts w:hint="eastAsia" w:ascii="Times New Roman" w:hAnsi="Times New Roman" w:eastAsia="宋体" w:cs="Times New Roman"/>
                <w:b/>
                <w:bCs/>
                <w:color w:val="auto"/>
                <w:kern w:val="2"/>
                <w:sz w:val="21"/>
                <w:szCs w:val="24"/>
                <w:lang w:val="en-US" w:eastAsia="zh-CN" w:bidi="ar-SA"/>
              </w:rPr>
            </w:pP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6</w:t>
      </w:r>
      <w:r>
        <w:rPr>
          <w:rFonts w:hint="eastAsia" w:ascii="黑体" w:hAnsi="黑体" w:eastAsia="黑体" w:cs="黑体"/>
          <w:color w:val="auto"/>
          <w:sz w:val="32"/>
          <w:szCs w:val="32"/>
        </w:rPr>
        <w:t>.特殊药品</w:t>
      </w:r>
      <w:r>
        <w:rPr>
          <w:rFonts w:hint="eastAsia" w:ascii="黑体" w:hAnsi="黑体" w:eastAsia="黑体" w:cs="黑体"/>
          <w:color w:val="auto"/>
          <w:sz w:val="32"/>
          <w:szCs w:val="32"/>
          <w:lang w:eastAsia="zh-CN"/>
        </w:rPr>
        <w:t>及病种</w:t>
      </w:r>
      <w:r>
        <w:rPr>
          <w:rFonts w:hint="eastAsia" w:ascii="黑体" w:hAnsi="黑体" w:eastAsia="黑体" w:cs="黑体"/>
          <w:color w:val="auto"/>
          <w:sz w:val="32"/>
          <w:szCs w:val="32"/>
        </w:rPr>
        <w:t>补偿政策</w:t>
      </w:r>
    </w:p>
    <w:tbl>
      <w:tblPr>
        <w:tblStyle w:val="15"/>
        <w:tblW w:w="10395"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0"/>
        <w:gridCol w:w="1707"/>
        <w:gridCol w:w="3289"/>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0" w:type="dxa"/>
            <w:vAlign w:val="top"/>
          </w:tcPr>
          <w:p>
            <w:pPr>
              <w:jc w:val="center"/>
              <w:rPr>
                <w:rFonts w:hint="eastAsia" w:ascii="宋体" w:hAnsi="宋体" w:cs="方正小标宋简体"/>
                <w:color w:val="auto"/>
                <w:szCs w:val="21"/>
              </w:rPr>
            </w:pPr>
            <w:r>
              <w:rPr>
                <w:rFonts w:hint="eastAsia" w:ascii="宋体" w:hAnsi="宋体" w:cs="方正小标宋简体"/>
                <w:color w:val="auto"/>
                <w:szCs w:val="21"/>
              </w:rPr>
              <w:t>项目</w:t>
            </w:r>
          </w:p>
        </w:tc>
        <w:tc>
          <w:tcPr>
            <w:tcW w:w="1707" w:type="dxa"/>
            <w:vAlign w:val="top"/>
          </w:tcPr>
          <w:p>
            <w:pPr>
              <w:jc w:val="center"/>
              <w:rPr>
                <w:rFonts w:hint="eastAsia" w:ascii="宋体" w:hAnsi="宋体" w:eastAsia="宋体" w:cs="方正小标宋简体"/>
                <w:color w:val="auto"/>
                <w:szCs w:val="21"/>
                <w:lang w:val="en-US" w:eastAsia="zh-CN"/>
              </w:rPr>
            </w:pPr>
            <w:r>
              <w:rPr>
                <w:rFonts w:hint="eastAsia" w:ascii="宋体" w:hAnsi="宋体" w:cs="方正小标宋简体"/>
                <w:color w:val="auto"/>
                <w:szCs w:val="21"/>
              </w:rPr>
              <w:t>起付线</w:t>
            </w:r>
            <w:r>
              <w:rPr>
                <w:rFonts w:hint="eastAsia" w:ascii="宋体" w:hAnsi="宋体" w:cs="方正小标宋简体"/>
                <w:color w:val="auto"/>
                <w:szCs w:val="21"/>
                <w:lang w:eastAsia="zh-CN"/>
              </w:rPr>
              <w:t>（元）</w:t>
            </w:r>
          </w:p>
        </w:tc>
        <w:tc>
          <w:tcPr>
            <w:tcW w:w="3289" w:type="dxa"/>
            <w:vAlign w:val="top"/>
          </w:tcPr>
          <w:p>
            <w:pPr>
              <w:jc w:val="center"/>
              <w:rPr>
                <w:rFonts w:hint="eastAsia" w:ascii="宋体" w:hAnsi="宋体" w:cs="方正小标宋简体"/>
                <w:color w:val="auto"/>
                <w:szCs w:val="21"/>
              </w:rPr>
            </w:pPr>
            <w:r>
              <w:rPr>
                <w:rFonts w:hint="eastAsia" w:ascii="宋体" w:hAnsi="宋体" w:cs="方正小标宋简体"/>
                <w:color w:val="auto"/>
                <w:szCs w:val="21"/>
              </w:rPr>
              <w:t>报销比例</w:t>
            </w:r>
          </w:p>
        </w:tc>
        <w:tc>
          <w:tcPr>
            <w:tcW w:w="2359" w:type="dxa"/>
            <w:vAlign w:val="top"/>
          </w:tcPr>
          <w:p>
            <w:pPr>
              <w:jc w:val="center"/>
              <w:rPr>
                <w:rFonts w:hint="eastAsia" w:ascii="宋体" w:hAnsi="宋体" w:cs="方正小标宋简体"/>
                <w:color w:val="auto"/>
                <w:szCs w:val="21"/>
              </w:rPr>
            </w:pPr>
            <w:r>
              <w:rPr>
                <w:rFonts w:hint="eastAsia"/>
                <w:color w:val="auto"/>
                <w:lang w:eastAsia="zh-CN"/>
              </w:rPr>
              <w:t>年度支付限额</w:t>
            </w:r>
            <w:r>
              <w:rPr>
                <w:rFonts w:hint="eastAsia"/>
                <w:color w:val="auto"/>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40" w:type="dxa"/>
            <w:vAlign w:val="top"/>
          </w:tcPr>
          <w:p>
            <w:pPr>
              <w:jc w:val="center"/>
              <w:rPr>
                <w:rFonts w:hint="eastAsia" w:ascii="宋体" w:hAnsi="宋体" w:cs="方正小标宋简体"/>
                <w:color w:val="auto"/>
                <w:kern w:val="2"/>
                <w:sz w:val="21"/>
                <w:szCs w:val="21"/>
                <w:lang w:val="en-US" w:eastAsia="zh-CN" w:bidi="ar-SA"/>
              </w:rPr>
            </w:pPr>
            <w:r>
              <w:rPr>
                <w:rFonts w:hint="eastAsia" w:ascii="宋体" w:hAnsi="宋体" w:cs="方正小标宋简体"/>
                <w:color w:val="auto"/>
                <w:szCs w:val="21"/>
              </w:rPr>
              <w:t>大病保险特殊药品</w:t>
            </w:r>
          </w:p>
        </w:tc>
        <w:tc>
          <w:tcPr>
            <w:tcW w:w="1707" w:type="dxa"/>
            <w:vAlign w:val="top"/>
          </w:tcPr>
          <w:p>
            <w:pPr>
              <w:jc w:val="center"/>
              <w:rPr>
                <w:rFonts w:hint="eastAsia" w:ascii="宋体" w:hAnsi="宋体" w:cs="方正小标宋简体"/>
                <w:color w:val="auto"/>
                <w:kern w:val="2"/>
                <w:sz w:val="21"/>
                <w:szCs w:val="21"/>
                <w:lang w:val="en-US" w:eastAsia="zh-CN" w:bidi="ar-SA"/>
              </w:rPr>
            </w:pPr>
            <w:r>
              <w:rPr>
                <w:rFonts w:hint="eastAsia" w:ascii="宋体" w:hAnsi="宋体" w:cs="方正小标宋简体"/>
                <w:color w:val="auto"/>
                <w:szCs w:val="21"/>
              </w:rPr>
              <w:t>2万</w:t>
            </w:r>
          </w:p>
        </w:tc>
        <w:tc>
          <w:tcPr>
            <w:tcW w:w="3289" w:type="dxa"/>
            <w:vAlign w:val="top"/>
          </w:tcPr>
          <w:p>
            <w:pPr>
              <w:jc w:val="center"/>
              <w:rPr>
                <w:rFonts w:hint="eastAsia" w:ascii="宋体" w:hAnsi="宋体" w:cs="方正小标宋简体"/>
                <w:color w:val="auto"/>
                <w:kern w:val="2"/>
                <w:sz w:val="21"/>
                <w:szCs w:val="21"/>
                <w:lang w:val="en-US" w:eastAsia="zh-CN" w:bidi="ar-SA"/>
              </w:rPr>
            </w:pPr>
            <w:r>
              <w:rPr>
                <w:rFonts w:hint="eastAsia" w:ascii="宋体" w:hAnsi="宋体" w:cs="方正小标宋简体"/>
                <w:color w:val="auto"/>
                <w:szCs w:val="21"/>
              </w:rPr>
              <w:t>80%</w:t>
            </w:r>
          </w:p>
        </w:tc>
        <w:tc>
          <w:tcPr>
            <w:tcW w:w="2359" w:type="dxa"/>
            <w:vAlign w:val="top"/>
          </w:tcPr>
          <w:p>
            <w:pPr>
              <w:jc w:val="center"/>
              <w:rPr>
                <w:rFonts w:hint="eastAsia" w:ascii="宋体" w:hAnsi="宋体" w:cs="方正小标宋简体"/>
                <w:color w:val="auto"/>
                <w:kern w:val="2"/>
                <w:sz w:val="21"/>
                <w:szCs w:val="21"/>
                <w:lang w:val="en-US" w:eastAsia="zh-CN" w:bidi="ar-SA"/>
              </w:rPr>
            </w:pPr>
            <w:r>
              <w:rPr>
                <w:rFonts w:hint="eastAsia" w:ascii="宋体" w:hAnsi="宋体" w:cs="方正小标宋简体"/>
                <w:color w:val="auto"/>
                <w:szCs w:val="21"/>
              </w:rPr>
              <w:t>40万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040" w:type="dxa"/>
            <w:vAlign w:val="top"/>
          </w:tcPr>
          <w:p>
            <w:pPr>
              <w:jc w:val="center"/>
              <w:rPr>
                <w:rFonts w:hint="eastAsia" w:ascii="宋体" w:hAnsi="宋体" w:cs="方正小标宋简体"/>
                <w:color w:val="auto"/>
                <w:szCs w:val="21"/>
              </w:rPr>
            </w:pPr>
            <w:r>
              <w:rPr>
                <w:rFonts w:hint="eastAsia" w:ascii="宋体" w:hAnsi="宋体" w:cs="方正小标宋简体"/>
                <w:color w:val="auto"/>
                <w:szCs w:val="21"/>
              </w:rPr>
              <w:t>戈谢病</w:t>
            </w:r>
            <w:r>
              <w:rPr>
                <w:rFonts w:hint="eastAsia" w:ascii="宋体" w:hAnsi="宋体" w:cs="方正小标宋简体"/>
                <w:color w:val="auto"/>
                <w:szCs w:val="21"/>
                <w:lang w:eastAsia="zh-CN"/>
              </w:rPr>
              <w:t>、</w:t>
            </w:r>
            <w:r>
              <w:rPr>
                <w:rFonts w:hint="eastAsia" w:ascii="宋体" w:hAnsi="宋体" w:cs="方正小标宋简体"/>
                <w:color w:val="auto"/>
                <w:szCs w:val="21"/>
              </w:rPr>
              <w:t>庞贝氏病</w:t>
            </w:r>
            <w:r>
              <w:rPr>
                <w:rFonts w:hint="eastAsia" w:ascii="宋体" w:hAnsi="宋体" w:cs="方正小标宋简体"/>
                <w:color w:val="auto"/>
                <w:szCs w:val="21"/>
                <w:lang w:eastAsia="zh-CN"/>
              </w:rPr>
              <w:t>、</w:t>
            </w:r>
            <w:r>
              <w:rPr>
                <w:rFonts w:hint="eastAsia" w:ascii="宋体" w:hAnsi="宋体" w:cs="方正小标宋简体"/>
                <w:color w:val="auto"/>
                <w:szCs w:val="21"/>
              </w:rPr>
              <w:t>法布雷病</w:t>
            </w:r>
          </w:p>
        </w:tc>
        <w:tc>
          <w:tcPr>
            <w:tcW w:w="1707" w:type="dxa"/>
            <w:vAlign w:val="top"/>
          </w:tcPr>
          <w:p>
            <w:pPr>
              <w:jc w:val="center"/>
              <w:rPr>
                <w:rFonts w:hint="eastAsia" w:ascii="宋体" w:hAnsi="宋体" w:cs="方正小标宋简体"/>
                <w:color w:val="auto"/>
                <w:szCs w:val="21"/>
              </w:rPr>
            </w:pPr>
            <w:r>
              <w:rPr>
                <w:rFonts w:hint="eastAsia" w:ascii="宋体" w:hAnsi="宋体" w:cs="方正小标宋简体"/>
                <w:color w:val="auto"/>
                <w:szCs w:val="21"/>
              </w:rPr>
              <w:t>2万</w:t>
            </w:r>
          </w:p>
        </w:tc>
        <w:tc>
          <w:tcPr>
            <w:tcW w:w="3289" w:type="dxa"/>
            <w:vAlign w:val="top"/>
          </w:tcPr>
          <w:p>
            <w:pPr>
              <w:jc w:val="center"/>
              <w:rPr>
                <w:rFonts w:hint="eastAsia" w:ascii="宋体" w:hAnsi="宋体" w:cs="方正小标宋简体"/>
                <w:color w:val="auto"/>
                <w:szCs w:val="21"/>
              </w:rPr>
            </w:pPr>
            <w:r>
              <w:rPr>
                <w:rFonts w:hint="eastAsia" w:ascii="宋体" w:hAnsi="宋体" w:cs="方正小标宋简体"/>
                <w:color w:val="auto"/>
                <w:szCs w:val="21"/>
              </w:rPr>
              <w:t>2万元-40万元报销比例80%，</w:t>
            </w:r>
            <w:r>
              <w:rPr>
                <w:rFonts w:hint="eastAsia" w:ascii="宋体" w:hAnsi="宋体" w:cs="方正小标宋简体"/>
                <w:color w:val="auto"/>
                <w:szCs w:val="21"/>
                <w:lang w:val="en-US" w:eastAsia="zh-CN"/>
              </w:rPr>
              <w:t xml:space="preserve">  </w:t>
            </w:r>
            <w:r>
              <w:rPr>
                <w:rFonts w:hint="eastAsia" w:ascii="宋体" w:hAnsi="宋体" w:cs="方正小标宋简体"/>
                <w:color w:val="auto"/>
                <w:szCs w:val="21"/>
              </w:rPr>
              <w:t>40万元以上报销比例85%</w:t>
            </w:r>
          </w:p>
        </w:tc>
        <w:tc>
          <w:tcPr>
            <w:tcW w:w="2359" w:type="dxa"/>
            <w:vAlign w:val="top"/>
          </w:tcPr>
          <w:p>
            <w:pPr>
              <w:jc w:val="center"/>
              <w:rPr>
                <w:rFonts w:hint="eastAsia" w:ascii="宋体" w:hAnsi="宋体" w:cs="方正小标宋简体"/>
                <w:color w:val="auto"/>
                <w:szCs w:val="21"/>
              </w:rPr>
            </w:pPr>
            <w:r>
              <w:rPr>
                <w:rFonts w:hint="eastAsia" w:ascii="宋体" w:hAnsi="宋体" w:cs="方正小标宋简体"/>
                <w:color w:val="auto"/>
                <w:szCs w:val="21"/>
              </w:rPr>
              <w:t>90万</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lang w:eastAsia="zh-CN"/>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7</w:t>
      </w:r>
      <w:r>
        <w:rPr>
          <w:rFonts w:hint="eastAsia" w:ascii="黑体" w:hAnsi="黑体" w:eastAsia="黑体" w:cs="黑体"/>
          <w:color w:val="auto"/>
          <w:sz w:val="32"/>
          <w:szCs w:val="32"/>
        </w:rPr>
        <w:t>.职工长期护理保险</w:t>
      </w:r>
      <w:r>
        <w:rPr>
          <w:rFonts w:hint="eastAsia" w:ascii="黑体" w:hAnsi="黑体" w:eastAsia="黑体" w:cs="黑体"/>
          <w:color w:val="auto"/>
          <w:sz w:val="32"/>
          <w:szCs w:val="32"/>
          <w:lang w:eastAsia="zh-CN"/>
        </w:rPr>
        <w:t>筹资政策</w:t>
      </w:r>
    </w:p>
    <w:tbl>
      <w:tblPr>
        <w:tblStyle w:val="16"/>
        <w:tblW w:w="10380"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2463"/>
        <w:gridCol w:w="2464"/>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3"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月份</w:t>
            </w:r>
          </w:p>
        </w:tc>
        <w:tc>
          <w:tcPr>
            <w:tcW w:w="2463"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单位缴纳比例</w:t>
            </w:r>
          </w:p>
        </w:tc>
        <w:tc>
          <w:tcPr>
            <w:tcW w:w="2464"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个人缴纳比例</w:t>
            </w:r>
          </w:p>
        </w:tc>
        <w:tc>
          <w:tcPr>
            <w:tcW w:w="272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财政补助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3"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1-12月</w:t>
            </w:r>
          </w:p>
        </w:tc>
        <w:tc>
          <w:tcPr>
            <w:tcW w:w="2463"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0.2%</w:t>
            </w:r>
          </w:p>
        </w:tc>
        <w:tc>
          <w:tcPr>
            <w:tcW w:w="2464"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0.1%</w:t>
            </w:r>
          </w:p>
        </w:tc>
        <w:tc>
          <w:tcPr>
            <w:tcW w:w="2720"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15元/人/年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3" w:type="dxa"/>
            <w:vAlign w:val="center"/>
          </w:tcPr>
          <w:p>
            <w:pPr>
              <w:jc w:val="center"/>
              <w:rPr>
                <w:rFonts w:hint="eastAsia"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备注</w:t>
            </w:r>
          </w:p>
        </w:tc>
        <w:tc>
          <w:tcPr>
            <w:tcW w:w="7647" w:type="dxa"/>
            <w:gridSpan w:val="3"/>
            <w:vAlign w:val="center"/>
          </w:tcPr>
          <w:p>
            <w:pPr>
              <w:jc w:val="center"/>
              <w:rPr>
                <w:rFonts w:hint="eastAsia"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退休职工按照每月5元在个人账户中划拨</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8</w:t>
      </w:r>
      <w:r>
        <w:rPr>
          <w:rFonts w:hint="eastAsia" w:ascii="黑体" w:hAnsi="黑体" w:eastAsia="黑体" w:cs="黑体"/>
          <w:color w:val="auto"/>
          <w:sz w:val="32"/>
          <w:szCs w:val="32"/>
        </w:rPr>
        <w:t>.职工长期护理保险政策</w:t>
      </w:r>
    </w:p>
    <w:tbl>
      <w:tblPr>
        <w:tblStyle w:val="15"/>
        <w:tblW w:w="10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2127"/>
        <w:gridCol w:w="1984"/>
        <w:gridCol w:w="4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Align w:val="top"/>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类别</w:t>
            </w:r>
          </w:p>
        </w:tc>
        <w:tc>
          <w:tcPr>
            <w:tcW w:w="2127"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类型</w:t>
            </w:r>
          </w:p>
        </w:tc>
        <w:tc>
          <w:tcPr>
            <w:tcW w:w="1984"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等级</w:t>
            </w:r>
          </w:p>
        </w:tc>
        <w:tc>
          <w:tcPr>
            <w:tcW w:w="4297"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日定额支付标准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restart"/>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重度失智</w:t>
            </w:r>
          </w:p>
        </w:tc>
        <w:tc>
          <w:tcPr>
            <w:tcW w:w="2127" w:type="dxa"/>
            <w:vMerge w:val="restart"/>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院护（在定点护理机构进行护理）</w:t>
            </w:r>
          </w:p>
        </w:tc>
        <w:tc>
          <w:tcPr>
            <w:tcW w:w="198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长期照护</w:t>
            </w:r>
          </w:p>
        </w:tc>
        <w:tc>
          <w:tcPr>
            <w:tcW w:w="4297"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70元/床日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continue"/>
            <w:vAlign w:val="center"/>
          </w:tcPr>
          <w:p>
            <w:pPr>
              <w:jc w:val="center"/>
              <w:rPr>
                <w:rFonts w:hint="eastAsia" w:ascii="宋体" w:hAnsi="宋体" w:eastAsia="宋体" w:cs="方正小标宋简体"/>
                <w:color w:val="auto"/>
                <w:szCs w:val="21"/>
              </w:rPr>
            </w:pPr>
          </w:p>
        </w:tc>
        <w:tc>
          <w:tcPr>
            <w:tcW w:w="2127" w:type="dxa"/>
            <w:vMerge w:val="continue"/>
            <w:vAlign w:val="center"/>
          </w:tcPr>
          <w:p>
            <w:pPr>
              <w:jc w:val="center"/>
              <w:rPr>
                <w:rFonts w:hint="eastAsia" w:ascii="宋体" w:hAnsi="宋体" w:eastAsia="宋体" w:cs="方正小标宋简体"/>
                <w:color w:val="auto"/>
                <w:szCs w:val="21"/>
              </w:rPr>
            </w:pPr>
          </w:p>
        </w:tc>
        <w:tc>
          <w:tcPr>
            <w:tcW w:w="198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日间照护</w:t>
            </w:r>
          </w:p>
        </w:tc>
        <w:tc>
          <w:tcPr>
            <w:tcW w:w="4297"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60元/床日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continue"/>
            <w:vAlign w:val="center"/>
          </w:tcPr>
          <w:p>
            <w:pPr>
              <w:jc w:val="center"/>
              <w:rPr>
                <w:rFonts w:hint="eastAsia" w:ascii="宋体" w:hAnsi="宋体" w:eastAsia="宋体" w:cs="方正小标宋简体"/>
                <w:color w:val="auto"/>
                <w:szCs w:val="21"/>
              </w:rPr>
            </w:pPr>
          </w:p>
        </w:tc>
        <w:tc>
          <w:tcPr>
            <w:tcW w:w="2127"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家护（在家中进行护理）</w:t>
            </w:r>
          </w:p>
        </w:tc>
        <w:tc>
          <w:tcPr>
            <w:tcW w:w="1984" w:type="dxa"/>
            <w:vAlign w:val="center"/>
          </w:tcPr>
          <w:p>
            <w:pPr>
              <w:jc w:val="center"/>
              <w:rPr>
                <w:rFonts w:hint="eastAsia" w:ascii="宋体" w:hAnsi="宋体" w:eastAsia="宋体" w:cs="方正小标宋简体"/>
                <w:color w:val="auto"/>
                <w:szCs w:val="21"/>
              </w:rPr>
            </w:pPr>
          </w:p>
        </w:tc>
        <w:tc>
          <w:tcPr>
            <w:tcW w:w="4297" w:type="dxa"/>
            <w:vAlign w:val="center"/>
          </w:tcPr>
          <w:p>
            <w:pPr>
              <w:jc w:val="left"/>
              <w:rPr>
                <w:rFonts w:hint="eastAsia" w:ascii="宋体" w:hAnsi="宋体" w:eastAsia="宋体" w:cs="方正小标宋简体"/>
                <w:color w:val="auto"/>
                <w:szCs w:val="21"/>
              </w:rPr>
            </w:pPr>
            <w:r>
              <w:rPr>
                <w:rFonts w:hint="eastAsia" w:ascii="宋体" w:hAnsi="宋体" w:eastAsia="宋体" w:cs="方正小标宋简体"/>
                <w:color w:val="auto"/>
                <w:szCs w:val="21"/>
                <w:lang w:eastAsia="zh-CN"/>
              </w:rPr>
              <w:t>亲情护理：</w:t>
            </w:r>
            <w:r>
              <w:rPr>
                <w:rFonts w:hint="default" w:ascii="宋体" w:hAnsi="宋体" w:eastAsia="宋体" w:cs="方正小标宋简体"/>
                <w:color w:val="auto"/>
                <w:szCs w:val="21"/>
                <w:lang w:val="en-US" w:eastAsia="zh-CN"/>
              </w:rPr>
              <w:t>45</w:t>
            </w:r>
            <w:r>
              <w:rPr>
                <w:rFonts w:hint="eastAsia" w:ascii="宋体" w:hAnsi="宋体" w:eastAsia="宋体" w:cs="方正小标宋简体"/>
                <w:color w:val="auto"/>
                <w:szCs w:val="21"/>
                <w:lang w:val="en-US" w:eastAsia="zh-CN"/>
              </w:rPr>
              <w:t>元</w:t>
            </w:r>
            <w:r>
              <w:rPr>
                <w:rFonts w:hint="default" w:ascii="宋体" w:hAnsi="宋体" w:eastAsia="宋体" w:cs="方正小标宋简体"/>
                <w:color w:val="auto"/>
                <w:szCs w:val="21"/>
                <w:lang w:val="en-US" w:eastAsia="zh-CN"/>
              </w:rPr>
              <w:t>/</w:t>
            </w:r>
            <w:r>
              <w:rPr>
                <w:rFonts w:hint="eastAsia" w:ascii="宋体" w:hAnsi="宋体" w:eastAsia="宋体" w:cs="方正小标宋简体"/>
                <w:color w:val="auto"/>
                <w:szCs w:val="21"/>
                <w:lang w:val="en-US" w:eastAsia="zh-CN"/>
              </w:rPr>
              <w:t>日，每月</w:t>
            </w:r>
            <w:r>
              <w:rPr>
                <w:rFonts w:hint="default" w:ascii="宋体" w:hAnsi="宋体" w:eastAsia="宋体" w:cs="方正小标宋简体"/>
                <w:color w:val="auto"/>
                <w:szCs w:val="21"/>
                <w:lang w:val="en-US" w:eastAsia="zh-CN"/>
              </w:rPr>
              <w:t>6</w:t>
            </w:r>
            <w:r>
              <w:rPr>
                <w:rFonts w:hint="eastAsia" w:ascii="宋体" w:hAnsi="宋体" w:eastAsia="宋体" w:cs="方正小标宋简体"/>
                <w:color w:val="auto"/>
                <w:szCs w:val="21"/>
                <w:lang w:val="en-US" w:eastAsia="zh-CN"/>
              </w:rPr>
              <w:t>小时上门服务，结算标准</w:t>
            </w:r>
            <w:r>
              <w:rPr>
                <w:rFonts w:hint="default" w:ascii="宋体" w:hAnsi="宋体" w:eastAsia="宋体" w:cs="方正小标宋简体"/>
                <w:color w:val="auto"/>
                <w:szCs w:val="21"/>
                <w:lang w:val="en-US" w:eastAsia="zh-CN"/>
              </w:rPr>
              <w:t>60</w:t>
            </w:r>
            <w:r>
              <w:rPr>
                <w:rFonts w:hint="eastAsia" w:ascii="宋体" w:hAnsi="宋体" w:eastAsia="宋体" w:cs="方正小标宋简体"/>
                <w:color w:val="auto"/>
                <w:szCs w:val="21"/>
                <w:lang w:val="en-US" w:eastAsia="zh-CN"/>
              </w:rPr>
              <w:t>元</w:t>
            </w:r>
            <w:r>
              <w:rPr>
                <w:rFonts w:hint="default" w:ascii="宋体" w:hAnsi="宋体" w:eastAsia="宋体" w:cs="方正小标宋简体"/>
                <w:color w:val="auto"/>
                <w:szCs w:val="21"/>
                <w:lang w:val="en-US" w:eastAsia="zh-CN"/>
              </w:rPr>
              <w:t>/</w:t>
            </w:r>
            <w:r>
              <w:rPr>
                <w:rFonts w:hint="eastAsia" w:ascii="宋体" w:hAnsi="宋体" w:eastAsia="宋体" w:cs="方正小标宋简体"/>
                <w:color w:val="auto"/>
                <w:szCs w:val="21"/>
                <w:lang w:val="en-US" w:eastAsia="zh-CN"/>
              </w:rPr>
              <w:t>小时，支付比例</w:t>
            </w:r>
            <w:r>
              <w:rPr>
                <w:rFonts w:hint="default" w:ascii="宋体" w:hAnsi="宋体" w:eastAsia="宋体" w:cs="方正小标宋简体"/>
                <w:color w:val="auto"/>
                <w:szCs w:val="21"/>
                <w:lang w:val="en-US" w:eastAsia="zh-CN"/>
              </w:rPr>
              <w:t>70%</w:t>
            </w:r>
          </w:p>
          <w:p>
            <w:pPr>
              <w:jc w:val="left"/>
              <w:rPr>
                <w:rFonts w:hint="eastAsia" w:ascii="宋体" w:hAnsi="宋体" w:eastAsia="宋体" w:cs="方正小标宋简体"/>
                <w:color w:val="auto"/>
                <w:szCs w:val="21"/>
              </w:rPr>
            </w:pPr>
            <w:r>
              <w:rPr>
                <w:rFonts w:hint="eastAsia" w:ascii="宋体" w:hAnsi="宋体" w:eastAsia="宋体" w:cs="方正小标宋简体"/>
                <w:color w:val="auto"/>
                <w:szCs w:val="21"/>
                <w:lang w:val="en-US" w:eastAsia="zh-CN"/>
              </w:rPr>
              <w:t>居家上门服务：每月</w:t>
            </w:r>
            <w:r>
              <w:rPr>
                <w:rFonts w:hint="default" w:ascii="宋体" w:hAnsi="宋体" w:eastAsia="宋体" w:cs="方正小标宋简体"/>
                <w:color w:val="auto"/>
                <w:szCs w:val="21"/>
                <w:lang w:val="en-US" w:eastAsia="zh-CN"/>
              </w:rPr>
              <w:t>30</w:t>
            </w:r>
            <w:r>
              <w:rPr>
                <w:rFonts w:hint="eastAsia" w:ascii="宋体" w:hAnsi="宋体" w:eastAsia="宋体" w:cs="方正小标宋简体"/>
                <w:color w:val="auto"/>
                <w:szCs w:val="21"/>
                <w:lang w:val="en-US" w:eastAsia="zh-CN"/>
              </w:rPr>
              <w:t>小时上门服务，结算标准</w:t>
            </w:r>
            <w:r>
              <w:rPr>
                <w:rFonts w:hint="default" w:ascii="宋体" w:hAnsi="宋体" w:eastAsia="宋体" w:cs="方正小标宋简体"/>
                <w:color w:val="auto"/>
                <w:szCs w:val="21"/>
                <w:lang w:val="en-US" w:eastAsia="zh-CN"/>
              </w:rPr>
              <w:t>60</w:t>
            </w:r>
            <w:r>
              <w:rPr>
                <w:rFonts w:hint="eastAsia" w:ascii="宋体" w:hAnsi="宋体" w:eastAsia="宋体" w:cs="方正小标宋简体"/>
                <w:color w:val="auto"/>
                <w:szCs w:val="21"/>
                <w:lang w:val="en-US" w:eastAsia="zh-CN"/>
              </w:rPr>
              <w:t>元</w:t>
            </w:r>
            <w:r>
              <w:rPr>
                <w:rFonts w:hint="default" w:ascii="宋体" w:hAnsi="宋体" w:eastAsia="宋体" w:cs="方正小标宋简体"/>
                <w:color w:val="auto"/>
                <w:szCs w:val="21"/>
                <w:lang w:val="en-US" w:eastAsia="zh-CN"/>
              </w:rPr>
              <w:t>/</w:t>
            </w:r>
            <w:r>
              <w:rPr>
                <w:rFonts w:hint="eastAsia" w:ascii="宋体" w:hAnsi="宋体" w:eastAsia="宋体" w:cs="方正小标宋简体"/>
                <w:color w:val="auto"/>
                <w:szCs w:val="21"/>
                <w:lang w:val="en-US" w:eastAsia="zh-CN"/>
              </w:rPr>
              <w:t>小时，支付比例</w:t>
            </w:r>
            <w:r>
              <w:rPr>
                <w:rFonts w:hint="default" w:ascii="宋体" w:hAnsi="宋体" w:eastAsia="宋体" w:cs="方正小标宋简体"/>
                <w:color w:val="auto"/>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restart"/>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重度失能</w:t>
            </w:r>
          </w:p>
        </w:tc>
        <w:tc>
          <w:tcPr>
            <w:tcW w:w="2127" w:type="dxa"/>
            <w:vMerge w:val="restart"/>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专护（在定点医疗机构进行护理）</w:t>
            </w:r>
          </w:p>
        </w:tc>
        <w:tc>
          <w:tcPr>
            <w:tcW w:w="198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三级医院</w:t>
            </w:r>
          </w:p>
        </w:tc>
        <w:tc>
          <w:tcPr>
            <w:tcW w:w="4297"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气管切开300元/床日，其他210元/床日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continue"/>
            <w:vAlign w:val="center"/>
          </w:tcPr>
          <w:p>
            <w:pPr>
              <w:jc w:val="center"/>
              <w:rPr>
                <w:rFonts w:hint="eastAsia" w:ascii="宋体" w:hAnsi="宋体" w:eastAsia="宋体" w:cs="方正小标宋简体"/>
                <w:color w:val="auto"/>
                <w:szCs w:val="21"/>
              </w:rPr>
            </w:pPr>
          </w:p>
        </w:tc>
        <w:tc>
          <w:tcPr>
            <w:tcW w:w="2127" w:type="dxa"/>
            <w:vMerge w:val="continue"/>
            <w:vAlign w:val="center"/>
          </w:tcPr>
          <w:p>
            <w:pPr>
              <w:jc w:val="center"/>
              <w:rPr>
                <w:rFonts w:hint="eastAsia" w:ascii="宋体" w:hAnsi="宋体" w:eastAsia="宋体" w:cs="方正小标宋简体"/>
                <w:color w:val="auto"/>
                <w:szCs w:val="21"/>
              </w:rPr>
            </w:pPr>
          </w:p>
        </w:tc>
        <w:tc>
          <w:tcPr>
            <w:tcW w:w="198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二级医院</w:t>
            </w:r>
          </w:p>
        </w:tc>
        <w:tc>
          <w:tcPr>
            <w:tcW w:w="4297"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气管切开280元/床日，其他180元/床日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continue"/>
            <w:vAlign w:val="center"/>
          </w:tcPr>
          <w:p>
            <w:pPr>
              <w:jc w:val="center"/>
              <w:rPr>
                <w:rFonts w:hint="eastAsia" w:ascii="宋体" w:hAnsi="宋体" w:eastAsia="宋体" w:cs="方正小标宋简体"/>
                <w:color w:val="auto"/>
                <w:szCs w:val="21"/>
              </w:rPr>
            </w:pPr>
          </w:p>
        </w:tc>
        <w:tc>
          <w:tcPr>
            <w:tcW w:w="2127" w:type="dxa"/>
            <w:vMerge w:val="continue"/>
            <w:vAlign w:val="center"/>
          </w:tcPr>
          <w:p>
            <w:pPr>
              <w:jc w:val="center"/>
              <w:rPr>
                <w:rFonts w:hint="eastAsia" w:ascii="宋体" w:hAnsi="宋体" w:eastAsia="宋体" w:cs="方正小标宋简体"/>
                <w:color w:val="auto"/>
                <w:szCs w:val="21"/>
              </w:rPr>
            </w:pPr>
          </w:p>
        </w:tc>
        <w:tc>
          <w:tcPr>
            <w:tcW w:w="198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一级医院</w:t>
            </w:r>
          </w:p>
        </w:tc>
        <w:tc>
          <w:tcPr>
            <w:tcW w:w="4297"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气管切开260元/床日，其他150元/床日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continue"/>
            <w:vAlign w:val="center"/>
          </w:tcPr>
          <w:p>
            <w:pPr>
              <w:jc w:val="center"/>
              <w:rPr>
                <w:rFonts w:hint="eastAsia" w:ascii="宋体" w:hAnsi="宋体" w:eastAsia="宋体" w:cs="方正小标宋简体"/>
                <w:color w:val="auto"/>
                <w:szCs w:val="21"/>
              </w:rPr>
            </w:pPr>
          </w:p>
        </w:tc>
        <w:tc>
          <w:tcPr>
            <w:tcW w:w="2127" w:type="dxa"/>
            <w:vMerge w:val="restart"/>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院护（在定点护理机构进行护理）</w:t>
            </w:r>
          </w:p>
        </w:tc>
        <w:tc>
          <w:tcPr>
            <w:tcW w:w="198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eastAsia="zh-CN"/>
              </w:rPr>
              <w:t>失能等级</w:t>
            </w:r>
            <w:r>
              <w:rPr>
                <w:rFonts w:hint="default" w:ascii="宋体" w:hAnsi="宋体" w:eastAsia="宋体" w:cs="方正小标宋简体"/>
                <w:color w:val="auto"/>
                <w:szCs w:val="21"/>
                <w:lang w:val="en-US" w:eastAsia="zh-CN"/>
              </w:rPr>
              <w:t>5</w:t>
            </w:r>
            <w:r>
              <w:rPr>
                <w:rFonts w:hint="eastAsia" w:ascii="宋体" w:hAnsi="宋体" w:eastAsia="宋体" w:cs="方正小标宋简体"/>
                <w:color w:val="auto"/>
                <w:szCs w:val="21"/>
                <w:lang w:val="en-US" w:eastAsia="zh-CN"/>
              </w:rPr>
              <w:t>级</w:t>
            </w:r>
          </w:p>
        </w:tc>
        <w:tc>
          <w:tcPr>
            <w:tcW w:w="4297"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70元/床日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continue"/>
            <w:vAlign w:val="center"/>
          </w:tcPr>
          <w:p>
            <w:pPr>
              <w:jc w:val="center"/>
              <w:rPr>
                <w:rFonts w:hint="eastAsia" w:ascii="宋体" w:hAnsi="宋体" w:eastAsia="宋体" w:cs="方正小标宋简体"/>
                <w:color w:val="auto"/>
                <w:szCs w:val="21"/>
              </w:rPr>
            </w:pPr>
          </w:p>
        </w:tc>
        <w:tc>
          <w:tcPr>
            <w:tcW w:w="2127" w:type="dxa"/>
            <w:vMerge w:val="continue"/>
            <w:vAlign w:val="center"/>
          </w:tcPr>
          <w:p>
            <w:pPr>
              <w:jc w:val="center"/>
              <w:rPr>
                <w:rFonts w:hint="eastAsia" w:ascii="宋体" w:hAnsi="宋体" w:eastAsia="宋体" w:cs="方正小标宋简体"/>
                <w:color w:val="auto"/>
                <w:szCs w:val="21"/>
              </w:rPr>
            </w:pPr>
          </w:p>
        </w:tc>
        <w:tc>
          <w:tcPr>
            <w:tcW w:w="198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eastAsia="zh-CN"/>
              </w:rPr>
              <w:t>失能等级</w:t>
            </w:r>
            <w:r>
              <w:rPr>
                <w:rFonts w:hint="default" w:ascii="宋体" w:hAnsi="宋体" w:eastAsia="宋体" w:cs="方正小标宋简体"/>
                <w:color w:val="auto"/>
                <w:szCs w:val="21"/>
                <w:lang w:val="en-US" w:eastAsia="zh-CN"/>
              </w:rPr>
              <w:t>3</w:t>
            </w:r>
            <w:r>
              <w:rPr>
                <w:rFonts w:hint="eastAsia" w:ascii="宋体" w:hAnsi="宋体" w:eastAsia="宋体" w:cs="方正小标宋简体"/>
                <w:color w:val="auto"/>
                <w:szCs w:val="21"/>
                <w:lang w:val="en-US" w:eastAsia="zh-CN"/>
              </w:rPr>
              <w:t>－</w:t>
            </w:r>
            <w:r>
              <w:rPr>
                <w:rFonts w:hint="default" w:ascii="宋体" w:hAnsi="宋体" w:eastAsia="宋体" w:cs="方正小标宋简体"/>
                <w:color w:val="auto"/>
                <w:szCs w:val="21"/>
                <w:lang w:val="en-US" w:eastAsia="zh-CN"/>
              </w:rPr>
              <w:t>4</w:t>
            </w:r>
            <w:r>
              <w:rPr>
                <w:rFonts w:hint="eastAsia" w:ascii="宋体" w:hAnsi="宋体" w:eastAsia="宋体" w:cs="方正小标宋简体"/>
                <w:color w:val="auto"/>
                <w:szCs w:val="21"/>
                <w:lang w:val="en-US" w:eastAsia="zh-CN"/>
              </w:rPr>
              <w:t>级</w:t>
            </w:r>
          </w:p>
        </w:tc>
        <w:tc>
          <w:tcPr>
            <w:tcW w:w="4297"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60元/床日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continue"/>
            <w:vAlign w:val="center"/>
          </w:tcPr>
          <w:p>
            <w:pPr>
              <w:jc w:val="center"/>
              <w:rPr>
                <w:rFonts w:hint="eastAsia" w:ascii="宋体" w:hAnsi="宋体" w:eastAsia="宋体" w:cs="方正小标宋简体"/>
                <w:color w:val="auto"/>
                <w:szCs w:val="21"/>
              </w:rPr>
            </w:pPr>
          </w:p>
        </w:tc>
        <w:tc>
          <w:tcPr>
            <w:tcW w:w="2127" w:type="dxa"/>
            <w:vMerge w:val="continue"/>
            <w:vAlign w:val="center"/>
          </w:tcPr>
          <w:p>
            <w:pPr>
              <w:jc w:val="center"/>
              <w:rPr>
                <w:rFonts w:hint="eastAsia" w:ascii="宋体" w:hAnsi="宋体" w:eastAsia="宋体" w:cs="方正小标宋简体"/>
                <w:color w:val="auto"/>
                <w:szCs w:val="21"/>
              </w:rPr>
            </w:pPr>
          </w:p>
        </w:tc>
        <w:tc>
          <w:tcPr>
            <w:tcW w:w="198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eastAsia="zh-CN"/>
              </w:rPr>
              <w:t>失能等级</w:t>
            </w:r>
            <w:r>
              <w:rPr>
                <w:rFonts w:hint="default" w:ascii="宋体" w:hAnsi="宋体" w:eastAsia="宋体" w:cs="方正小标宋简体"/>
                <w:color w:val="auto"/>
                <w:szCs w:val="21"/>
                <w:lang w:val="en-US" w:eastAsia="zh-CN"/>
              </w:rPr>
              <w:t>2</w:t>
            </w:r>
            <w:r>
              <w:rPr>
                <w:rFonts w:hint="eastAsia" w:ascii="宋体" w:hAnsi="宋体" w:eastAsia="宋体" w:cs="方正小标宋简体"/>
                <w:color w:val="auto"/>
                <w:szCs w:val="21"/>
                <w:lang w:val="en-US" w:eastAsia="zh-CN"/>
              </w:rPr>
              <w:t>级</w:t>
            </w:r>
          </w:p>
        </w:tc>
        <w:tc>
          <w:tcPr>
            <w:tcW w:w="4297"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50元/床日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62" w:type="dxa"/>
            <w:vMerge w:val="continue"/>
            <w:vAlign w:val="center"/>
          </w:tcPr>
          <w:p>
            <w:pPr>
              <w:jc w:val="center"/>
              <w:rPr>
                <w:rFonts w:hint="eastAsia" w:ascii="宋体" w:hAnsi="宋体" w:eastAsia="宋体" w:cs="方正小标宋简体"/>
                <w:color w:val="auto"/>
                <w:szCs w:val="21"/>
              </w:rPr>
            </w:pPr>
          </w:p>
        </w:tc>
        <w:tc>
          <w:tcPr>
            <w:tcW w:w="2127"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家护（在家中进行护理）</w:t>
            </w:r>
          </w:p>
        </w:tc>
        <w:tc>
          <w:tcPr>
            <w:tcW w:w="1984" w:type="dxa"/>
            <w:vAlign w:val="center"/>
          </w:tcPr>
          <w:p>
            <w:pPr>
              <w:jc w:val="center"/>
              <w:rPr>
                <w:rFonts w:hint="eastAsia" w:ascii="宋体" w:hAnsi="宋体" w:eastAsia="宋体" w:cs="方正小标宋简体"/>
                <w:color w:val="auto"/>
                <w:szCs w:val="21"/>
              </w:rPr>
            </w:pPr>
          </w:p>
        </w:tc>
        <w:tc>
          <w:tcPr>
            <w:tcW w:w="4297" w:type="dxa"/>
            <w:vAlign w:val="center"/>
          </w:tcPr>
          <w:p>
            <w:pPr>
              <w:jc w:val="left"/>
              <w:rPr>
                <w:rFonts w:hint="default" w:ascii="宋体" w:hAnsi="宋体" w:eastAsia="宋体" w:cs="方正小标宋简体"/>
                <w:color w:val="auto"/>
                <w:szCs w:val="21"/>
                <w:lang w:val="en-US" w:eastAsia="zh-CN"/>
              </w:rPr>
            </w:pPr>
            <w:r>
              <w:rPr>
                <w:rFonts w:hint="default" w:ascii="宋体" w:hAnsi="宋体" w:eastAsia="宋体" w:cs="方正小标宋简体"/>
                <w:color w:val="auto"/>
                <w:szCs w:val="21"/>
                <w:lang w:val="en-US" w:eastAsia="zh-CN"/>
              </w:rPr>
              <w:t>亲情护理模式：居家护理待遇45元/日，同时可申请居家护理机构短时服务，每月最高支付时长为6小时，结算标准60元/小时，支付比例70%；</w:t>
            </w:r>
          </w:p>
          <w:p>
            <w:pPr>
              <w:jc w:val="left"/>
              <w:rPr>
                <w:rFonts w:hint="default" w:ascii="宋体" w:hAnsi="宋体" w:eastAsia="宋体" w:cs="方正小标宋简体"/>
                <w:color w:val="auto"/>
                <w:szCs w:val="21"/>
                <w:lang w:val="en-US"/>
              </w:rPr>
            </w:pPr>
            <w:r>
              <w:rPr>
                <w:rFonts w:hint="default" w:ascii="宋体" w:hAnsi="宋体" w:eastAsia="宋体" w:cs="方正小标宋简体"/>
                <w:color w:val="auto"/>
                <w:szCs w:val="21"/>
                <w:lang w:val="en-US" w:eastAsia="zh-CN"/>
              </w:rPr>
              <w:t>居家上门服务模式：每月最高支付时长为30小时，结算标准60元/小时，支付比例90%</w:t>
            </w:r>
            <w:r>
              <w:rPr>
                <w:rFonts w:hint="eastAsia" w:ascii="宋体" w:hAnsi="宋体" w:eastAsia="宋体" w:cs="方正小标宋简体"/>
                <w:color w:val="auto"/>
                <w:szCs w:val="21"/>
                <w:lang w:val="en-US" w:eastAsia="zh-CN"/>
              </w:rPr>
              <w:t>，出诊费自费。</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lang w:eastAsia="zh-CN"/>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9</w:t>
      </w:r>
      <w:r>
        <w:rPr>
          <w:rFonts w:hint="eastAsia" w:ascii="黑体" w:hAnsi="黑体" w:eastAsia="黑体" w:cs="黑体"/>
          <w:color w:val="auto"/>
          <w:sz w:val="32"/>
          <w:szCs w:val="32"/>
        </w:rPr>
        <w:t>.职工长期护理保险</w:t>
      </w:r>
      <w:r>
        <w:rPr>
          <w:rFonts w:hint="eastAsia" w:ascii="黑体" w:hAnsi="黑体" w:eastAsia="黑体" w:cs="黑体"/>
          <w:color w:val="auto"/>
          <w:sz w:val="32"/>
          <w:szCs w:val="32"/>
          <w:lang w:eastAsia="zh-CN"/>
        </w:rPr>
        <w:t>经办机构及服务电话</w:t>
      </w:r>
    </w:p>
    <w:tbl>
      <w:tblPr>
        <w:tblStyle w:val="16"/>
        <w:tblW w:w="10330" w:type="dxa"/>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4905"/>
        <w:gridCol w:w="3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县区</w:t>
            </w:r>
          </w:p>
        </w:tc>
        <w:tc>
          <w:tcPr>
            <w:tcW w:w="4905"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经办机构</w:t>
            </w:r>
          </w:p>
        </w:tc>
        <w:tc>
          <w:tcPr>
            <w:tcW w:w="3495"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服务电话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市直</w:t>
            </w:r>
          </w:p>
        </w:tc>
        <w:tc>
          <w:tcPr>
            <w:tcW w:w="4905" w:type="dxa"/>
            <w:vMerge w:val="restart"/>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中国人民健康保险股份有限公司滨州中心支公司</w:t>
            </w: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3312016、3312356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滨城区</w:t>
            </w:r>
          </w:p>
        </w:tc>
        <w:tc>
          <w:tcPr>
            <w:tcW w:w="4905" w:type="dxa"/>
            <w:vMerge w:val="continue"/>
            <w:vAlign w:val="center"/>
          </w:tcPr>
          <w:p>
            <w:pPr>
              <w:jc w:val="center"/>
              <w:rPr>
                <w:rFonts w:hint="eastAsia" w:ascii="宋体" w:hAnsi="宋体" w:eastAsia="宋体" w:cs="方正小标宋简体"/>
                <w:color w:val="auto"/>
                <w:szCs w:val="21"/>
                <w:lang w:eastAsia="zh-CN"/>
              </w:rPr>
            </w:pP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3312016、8330116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阳信县</w:t>
            </w:r>
          </w:p>
        </w:tc>
        <w:tc>
          <w:tcPr>
            <w:tcW w:w="4905"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val="en-US" w:eastAsia="zh-CN"/>
              </w:rPr>
              <w:t>中国太平洋财产保险股份有限公司滨州中心支公司</w:t>
            </w: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8228778、8222492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博兴县</w:t>
            </w:r>
          </w:p>
        </w:tc>
        <w:tc>
          <w:tcPr>
            <w:tcW w:w="4905" w:type="dxa"/>
            <w:vMerge w:val="restart"/>
            <w:vAlign w:val="center"/>
          </w:tcPr>
          <w:p>
            <w:pPr>
              <w:tabs>
                <w:tab w:val="left" w:pos="1107"/>
              </w:tabs>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中国人民财产保险股份有限公司滨州市分公司</w:t>
            </w:r>
          </w:p>
        </w:tc>
        <w:tc>
          <w:tcPr>
            <w:tcW w:w="3495"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val="en-US" w:eastAsia="zh-CN"/>
              </w:rPr>
              <w:t>15726286882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惠民县</w:t>
            </w:r>
          </w:p>
        </w:tc>
        <w:tc>
          <w:tcPr>
            <w:tcW w:w="4905" w:type="dxa"/>
            <w:vMerge w:val="continue"/>
            <w:vAlign w:val="center"/>
          </w:tcPr>
          <w:p>
            <w:pPr>
              <w:jc w:val="center"/>
              <w:rPr>
                <w:rFonts w:hint="eastAsia" w:ascii="宋体" w:hAnsi="宋体" w:eastAsia="宋体" w:cs="方正小标宋简体"/>
                <w:color w:val="auto"/>
                <w:szCs w:val="21"/>
                <w:lang w:eastAsia="zh-CN"/>
              </w:rPr>
            </w:pP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5320717、5234567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高新技术开发区</w:t>
            </w:r>
          </w:p>
        </w:tc>
        <w:tc>
          <w:tcPr>
            <w:tcW w:w="4905" w:type="dxa"/>
            <w:vMerge w:val="continue"/>
            <w:vAlign w:val="center"/>
          </w:tcPr>
          <w:p>
            <w:pPr>
              <w:jc w:val="center"/>
              <w:rPr>
                <w:rFonts w:hint="eastAsia" w:ascii="宋体" w:hAnsi="宋体" w:eastAsia="宋体" w:cs="方正小标宋简体"/>
                <w:color w:val="auto"/>
                <w:szCs w:val="21"/>
                <w:lang w:eastAsia="zh-CN"/>
              </w:rPr>
            </w:pP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3160160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沾化区</w:t>
            </w:r>
          </w:p>
        </w:tc>
        <w:tc>
          <w:tcPr>
            <w:tcW w:w="490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中国人寿财产保险股份有限公司滨州市中心支公司</w:t>
            </w: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7057600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邹平市</w:t>
            </w:r>
          </w:p>
        </w:tc>
        <w:tc>
          <w:tcPr>
            <w:tcW w:w="4905"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中国太平洋人寿保险股份有限公司滨州中心支公司</w:t>
            </w: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4264179、15865209588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无棣县</w:t>
            </w:r>
          </w:p>
        </w:tc>
        <w:tc>
          <w:tcPr>
            <w:tcW w:w="4905" w:type="dxa"/>
            <w:vMerge w:val="restart"/>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中国人寿保险股份有限公司滨州分公司</w:t>
            </w: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6327995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北海经济开发区</w:t>
            </w:r>
          </w:p>
        </w:tc>
        <w:tc>
          <w:tcPr>
            <w:tcW w:w="4905" w:type="dxa"/>
            <w:vMerge w:val="continue"/>
            <w:vAlign w:val="center"/>
          </w:tcPr>
          <w:p>
            <w:pPr>
              <w:jc w:val="center"/>
              <w:rPr>
                <w:rFonts w:hint="eastAsia" w:ascii="宋体" w:hAnsi="宋体" w:eastAsia="宋体" w:cs="方正小标宋简体"/>
                <w:color w:val="auto"/>
                <w:szCs w:val="21"/>
                <w:lang w:eastAsia="zh-CN"/>
              </w:rPr>
            </w:pP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13954392827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滨州经济技术开发区</w:t>
            </w:r>
          </w:p>
        </w:tc>
        <w:tc>
          <w:tcPr>
            <w:tcW w:w="4905" w:type="dxa"/>
            <w:vMerge w:val="continue"/>
            <w:vAlign w:val="center"/>
          </w:tcPr>
          <w:p>
            <w:pPr>
              <w:jc w:val="center"/>
              <w:rPr>
                <w:rFonts w:hint="eastAsia" w:ascii="宋体" w:hAnsi="宋体" w:eastAsia="宋体" w:cs="方正小标宋简体"/>
                <w:color w:val="auto"/>
                <w:szCs w:val="21"/>
                <w:lang w:eastAsia="zh-CN"/>
              </w:rPr>
            </w:pPr>
          </w:p>
        </w:tc>
        <w:tc>
          <w:tcPr>
            <w:tcW w:w="3495"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3382880</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lang w:eastAsia="zh-CN"/>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10</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企业职工生育保险政策</w:t>
      </w:r>
    </w:p>
    <w:tbl>
      <w:tblPr>
        <w:tblStyle w:val="16"/>
        <w:tblW w:w="10350" w:type="dxa"/>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063"/>
        <w:gridCol w:w="2562"/>
        <w:gridCol w:w="2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736"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项目</w:t>
            </w:r>
          </w:p>
        </w:tc>
        <w:tc>
          <w:tcPr>
            <w:tcW w:w="2063"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报销政策</w:t>
            </w:r>
          </w:p>
        </w:tc>
        <w:tc>
          <w:tcPr>
            <w:tcW w:w="2562"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生育津贴（限企业职工）</w:t>
            </w:r>
          </w:p>
        </w:tc>
        <w:tc>
          <w:tcPr>
            <w:tcW w:w="2989"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产前检查费（限企业职工）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736"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女职工住院分娩医疗费</w:t>
            </w:r>
          </w:p>
        </w:tc>
        <w:tc>
          <w:tcPr>
            <w:tcW w:w="2063"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政策范围内费用全额支付</w:t>
            </w:r>
          </w:p>
        </w:tc>
        <w:tc>
          <w:tcPr>
            <w:tcW w:w="2562"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val="en-US" w:eastAsia="zh-CN"/>
              </w:rPr>
              <w:t>按单位上年度职工月平均工资及产假98天计发</w:t>
            </w:r>
          </w:p>
        </w:tc>
        <w:tc>
          <w:tcPr>
            <w:tcW w:w="2989"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1000元（随生育津贴一并发放）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736"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男职工（配偶无工作且未以灵活就业人员参加职工医保、未享受居民生育报销）</w:t>
            </w:r>
          </w:p>
        </w:tc>
        <w:tc>
          <w:tcPr>
            <w:tcW w:w="2063"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eastAsia="zh-CN"/>
              </w:rPr>
              <w:t>按职工生育医疗费支付标准的</w:t>
            </w:r>
            <w:r>
              <w:rPr>
                <w:rFonts w:hint="eastAsia" w:ascii="宋体" w:hAnsi="宋体" w:eastAsia="宋体" w:cs="方正小标宋简体"/>
                <w:color w:val="auto"/>
                <w:szCs w:val="21"/>
                <w:lang w:val="en-US" w:eastAsia="zh-CN"/>
              </w:rPr>
              <w:t>50%享受生育医疗费待遇</w:t>
            </w:r>
          </w:p>
        </w:tc>
        <w:tc>
          <w:tcPr>
            <w:tcW w:w="2562" w:type="dxa"/>
            <w:tcBorders>
              <w:tl2br w:val="single" w:color="auto" w:sz="4" w:space="0"/>
            </w:tcBorders>
            <w:vAlign w:val="center"/>
          </w:tcPr>
          <w:p>
            <w:pPr>
              <w:jc w:val="center"/>
              <w:rPr>
                <w:rFonts w:hint="eastAsia" w:ascii="宋体" w:hAnsi="宋体" w:eastAsia="宋体" w:cs="方正小标宋简体"/>
                <w:color w:val="auto"/>
                <w:szCs w:val="21"/>
                <w:lang w:eastAsia="zh-CN"/>
              </w:rPr>
            </w:pPr>
          </w:p>
        </w:tc>
        <w:tc>
          <w:tcPr>
            <w:tcW w:w="2989" w:type="dxa"/>
            <w:tcBorders>
              <w:tl2br w:val="single" w:color="auto" w:sz="4" w:space="0"/>
            </w:tcBorders>
            <w:vAlign w:val="center"/>
          </w:tcPr>
          <w:p>
            <w:pPr>
              <w:jc w:val="center"/>
              <w:rPr>
                <w:rFonts w:hint="eastAsia" w:ascii="宋体" w:hAnsi="宋体" w:eastAsia="宋体" w:cs="方正小标宋简体"/>
                <w:color w:val="auto"/>
                <w:szCs w:val="21"/>
                <w:lang w:eastAsia="zh-CN"/>
              </w:rPr>
            </w:pPr>
          </w:p>
        </w:tc>
      </w:tr>
    </w:tbl>
    <w:p>
      <w:pPr>
        <w:widowControl/>
        <w:wordWrap/>
        <w:adjustRightInd/>
        <w:snapToGrid/>
        <w:jc w:val="left"/>
        <w:textAlignment w:val="auto"/>
        <w:outlineLvl w:val="9"/>
        <w:rPr>
          <w:rFonts w:hint="eastAsia" w:asciiTheme="majorEastAsia" w:hAnsiTheme="majorEastAsia" w:eastAsiaTheme="majorEastAsia" w:cstheme="majorEastAsia"/>
          <w:b/>
          <w:color w:val="000000"/>
          <w:kern w:val="0"/>
          <w:sz w:val="36"/>
          <w:szCs w:val="36"/>
        </w:rPr>
      </w:pPr>
      <w:bookmarkStart w:id="6" w:name="_Toc25095"/>
    </w:p>
    <w:p>
      <w:pPr>
        <w:widowControl/>
        <w:wordWrap/>
        <w:adjustRightInd/>
        <w:snapToGrid/>
        <w:jc w:val="left"/>
        <w:textAlignment w:val="auto"/>
        <w:outlineLvl w:val="9"/>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b/>
          <w:color w:val="000000"/>
          <w:kern w:val="0"/>
          <w:sz w:val="36"/>
          <w:szCs w:val="36"/>
          <w:lang w:eastAsia="zh-CN"/>
        </w:rPr>
        <w:t>二、</w:t>
      </w:r>
      <w:r>
        <w:rPr>
          <w:rFonts w:hint="eastAsia" w:asciiTheme="minorEastAsia" w:hAnsiTheme="minorEastAsia" w:eastAsiaTheme="minorEastAsia" w:cstheme="minorEastAsia"/>
          <w:b/>
          <w:color w:val="000000"/>
          <w:kern w:val="0"/>
          <w:sz w:val="36"/>
          <w:szCs w:val="36"/>
        </w:rPr>
        <w:t>居民医保部分</w:t>
      </w:r>
      <w:bookmarkEnd w:id="6"/>
    </w:p>
    <w:p>
      <w:pPr>
        <w:ind w:firstLine="2240" w:firstLineChars="700"/>
        <w:jc w:val="both"/>
        <w:rPr>
          <w:rFonts w:hint="eastAsia" w:ascii="黑体" w:hAnsi="黑体" w:eastAsia="黑体" w:cs="黑体"/>
          <w:color w:val="auto"/>
          <w:sz w:val="32"/>
          <w:szCs w:val="32"/>
        </w:rPr>
      </w:pPr>
    </w:p>
    <w:p>
      <w:pPr>
        <w:ind w:firstLine="2240" w:firstLineChars="700"/>
        <w:jc w:val="both"/>
        <w:rPr>
          <w:rFonts w:hint="eastAsia" w:ascii="黑体" w:hAnsi="黑体" w:eastAsia="黑体" w:cs="黑体"/>
          <w:color w:val="auto"/>
          <w:sz w:val="32"/>
          <w:szCs w:val="32"/>
          <w:lang w:eastAsia="zh-CN"/>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11</w:t>
      </w:r>
      <w:r>
        <w:rPr>
          <w:rFonts w:hint="eastAsia" w:ascii="黑体" w:hAnsi="黑体" w:eastAsia="黑体" w:cs="黑体"/>
          <w:color w:val="auto"/>
          <w:sz w:val="32"/>
          <w:szCs w:val="32"/>
        </w:rPr>
        <w:t>.居民医保筹资政策</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lang w:val="en-US" w:eastAsia="zh-CN"/>
        </w:rPr>
        <w:t>2024年度</w:t>
      </w:r>
      <w:r>
        <w:rPr>
          <w:rFonts w:hint="eastAsia" w:ascii="黑体" w:hAnsi="黑体" w:eastAsia="黑体" w:cs="黑体"/>
          <w:color w:val="auto"/>
          <w:sz w:val="32"/>
          <w:szCs w:val="32"/>
          <w:lang w:eastAsia="zh-CN"/>
        </w:rPr>
        <w:t>）</w:t>
      </w:r>
    </w:p>
    <w:tbl>
      <w:tblPr>
        <w:tblStyle w:val="15"/>
        <w:tblW w:w="10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816"/>
        <w:gridCol w:w="6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vAlign w:val="center"/>
          </w:tcPr>
          <w:p>
            <w:pPr>
              <w:jc w:val="center"/>
              <w:rPr>
                <w:rFonts w:hint="eastAsia" w:ascii="宋体" w:hAnsi="宋体" w:eastAsia="宋体" w:cs="方正小标宋简体"/>
                <w:color w:val="auto"/>
                <w:sz w:val="21"/>
                <w:szCs w:val="21"/>
              </w:rPr>
            </w:pPr>
            <w:r>
              <w:rPr>
                <w:rFonts w:hint="eastAsia" w:ascii="宋体" w:hAnsi="宋体" w:eastAsia="宋体" w:cs="方正小标宋简体"/>
                <w:color w:val="auto"/>
                <w:sz w:val="21"/>
                <w:szCs w:val="21"/>
              </w:rPr>
              <w:t>个人缴费</w:t>
            </w:r>
          </w:p>
        </w:tc>
        <w:tc>
          <w:tcPr>
            <w:tcW w:w="1816" w:type="dxa"/>
            <w:vAlign w:val="center"/>
          </w:tcPr>
          <w:p>
            <w:pPr>
              <w:jc w:val="center"/>
              <w:rPr>
                <w:rFonts w:hint="eastAsia" w:ascii="宋体" w:hAnsi="宋体" w:eastAsia="宋体" w:cs="方正小标宋简体"/>
                <w:color w:val="auto"/>
                <w:sz w:val="21"/>
                <w:szCs w:val="21"/>
              </w:rPr>
            </w:pPr>
            <w:r>
              <w:rPr>
                <w:rFonts w:hint="eastAsia" w:ascii="宋体" w:hAnsi="宋体" w:eastAsia="宋体" w:cs="方正小标宋简体"/>
                <w:color w:val="auto"/>
                <w:sz w:val="21"/>
                <w:szCs w:val="21"/>
              </w:rPr>
              <w:t>政府补助</w:t>
            </w:r>
          </w:p>
        </w:tc>
        <w:tc>
          <w:tcPr>
            <w:tcW w:w="6866" w:type="dxa"/>
            <w:vAlign w:val="center"/>
          </w:tcPr>
          <w:p>
            <w:pPr>
              <w:jc w:val="center"/>
              <w:rPr>
                <w:rFonts w:hint="eastAsia" w:ascii="宋体" w:hAnsi="宋体" w:eastAsia="宋体" w:cs="方正小标宋简体"/>
                <w:color w:val="auto"/>
                <w:sz w:val="21"/>
                <w:szCs w:val="21"/>
              </w:rPr>
            </w:pPr>
            <w:r>
              <w:rPr>
                <w:rFonts w:hint="eastAsia" w:ascii="宋体" w:hAnsi="宋体" w:eastAsia="宋体" w:cs="方正小标宋简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617" w:type="dxa"/>
            <w:vAlign w:val="center"/>
          </w:tcPr>
          <w:p>
            <w:pPr>
              <w:jc w:val="center"/>
              <w:rPr>
                <w:rFonts w:hint="eastAsia" w:ascii="宋体" w:hAnsi="宋体" w:eastAsia="宋体" w:cs="方正小标宋简体"/>
                <w:color w:val="auto"/>
                <w:sz w:val="21"/>
                <w:szCs w:val="21"/>
              </w:rPr>
            </w:pPr>
            <w:r>
              <w:rPr>
                <w:rFonts w:hint="eastAsia" w:ascii="宋体" w:hAnsi="宋体" w:cs="方正小标宋简体"/>
                <w:color w:val="auto"/>
                <w:sz w:val="21"/>
                <w:szCs w:val="21"/>
                <w:lang w:val="en-US" w:eastAsia="zh-CN"/>
              </w:rPr>
              <w:t>38</w:t>
            </w:r>
            <w:r>
              <w:rPr>
                <w:rFonts w:hint="eastAsia" w:ascii="宋体" w:hAnsi="宋体" w:eastAsia="宋体" w:cs="方正小标宋简体"/>
                <w:color w:val="auto"/>
                <w:sz w:val="21"/>
                <w:szCs w:val="21"/>
                <w:lang w:val="en-US" w:eastAsia="zh-CN"/>
              </w:rPr>
              <w:t>0</w:t>
            </w:r>
            <w:r>
              <w:rPr>
                <w:rFonts w:hint="eastAsia" w:ascii="宋体" w:hAnsi="宋体" w:eastAsia="宋体" w:cs="方正小标宋简体"/>
                <w:color w:val="auto"/>
                <w:sz w:val="21"/>
                <w:szCs w:val="21"/>
              </w:rPr>
              <w:t>元</w:t>
            </w:r>
          </w:p>
        </w:tc>
        <w:tc>
          <w:tcPr>
            <w:tcW w:w="1816" w:type="dxa"/>
            <w:vAlign w:val="center"/>
          </w:tcPr>
          <w:p>
            <w:pPr>
              <w:jc w:val="center"/>
              <w:rPr>
                <w:rFonts w:hint="eastAsia" w:ascii="宋体" w:hAnsi="宋体" w:eastAsia="宋体" w:cs="方正小标宋简体"/>
                <w:color w:val="auto"/>
                <w:sz w:val="21"/>
                <w:szCs w:val="21"/>
              </w:rPr>
            </w:pPr>
            <w:r>
              <w:rPr>
                <w:rFonts w:hint="eastAsia" w:ascii="宋体" w:hAnsi="宋体" w:cs="方正小标宋简体"/>
                <w:color w:val="auto"/>
                <w:sz w:val="21"/>
                <w:szCs w:val="21"/>
                <w:lang w:val="en-US" w:eastAsia="zh-CN"/>
              </w:rPr>
              <w:t>不低于640</w:t>
            </w:r>
            <w:r>
              <w:rPr>
                <w:rFonts w:hint="eastAsia" w:ascii="宋体" w:hAnsi="宋体" w:eastAsia="宋体" w:cs="方正小标宋简体"/>
                <w:color w:val="auto"/>
                <w:sz w:val="21"/>
                <w:szCs w:val="21"/>
              </w:rPr>
              <w:t>元</w:t>
            </w:r>
          </w:p>
        </w:tc>
        <w:tc>
          <w:tcPr>
            <w:tcW w:w="6866" w:type="dxa"/>
            <w:vAlign w:val="center"/>
          </w:tcPr>
          <w:p>
            <w:pPr>
              <w:numPr>
                <w:ilvl w:val="0"/>
                <w:numId w:val="0"/>
              </w:numPr>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1.筹资标准动态调整，根据省公布的控制标准确定。</w:t>
            </w:r>
          </w:p>
          <w:p>
            <w:pPr>
              <w:numPr>
                <w:ilvl w:val="0"/>
                <w:numId w:val="0"/>
              </w:numPr>
              <w:jc w:val="both"/>
              <w:rPr>
                <w:rFonts w:hint="default" w:eastAsia="宋体"/>
                <w:color w:val="auto"/>
                <w:lang w:val="en-US" w:eastAsia="zh-CN"/>
              </w:rPr>
            </w:pPr>
            <w:r>
              <w:rPr>
                <w:rFonts w:hint="default"/>
                <w:color w:val="auto"/>
                <w:lang w:eastAsia="zh-CN"/>
              </w:rPr>
              <w:t>2.</w:t>
            </w:r>
            <w:r>
              <w:rPr>
                <w:rFonts w:hint="eastAsia"/>
                <w:color w:val="auto"/>
                <w:lang w:eastAsia="zh-CN"/>
              </w:rPr>
              <w:t>低收入人口（特困、低保等）、重度残疾人、贫困人口、</w:t>
            </w:r>
            <w:r>
              <w:rPr>
                <w:rFonts w:hint="eastAsia"/>
                <w:color w:val="auto"/>
                <w:lang w:val="en-US" w:eastAsia="zh-CN"/>
              </w:rPr>
              <w:t>80岁以上老年人政府分类资助参保。</w:t>
            </w:r>
          </w:p>
        </w:tc>
      </w:tr>
    </w:tbl>
    <w:p>
      <w:pPr>
        <w:jc w:val="left"/>
        <w:rPr>
          <w:rFonts w:hint="eastAsia" w:ascii="方正小标宋简体" w:hAnsi="方正小标宋简体" w:eastAsia="方正小标宋简体" w:cs="方正小标宋简体"/>
          <w:color w:val="auto"/>
          <w:sz w:val="18"/>
          <w:szCs w:val="18"/>
          <w:lang w:eastAsia="zh-CN"/>
        </w:rPr>
      </w:pPr>
      <w:r>
        <w:rPr>
          <w:rFonts w:hint="eastAsia" w:ascii="方正小标宋简体" w:hAnsi="方正小标宋简体" w:eastAsia="方正小标宋简体" w:cs="方正小标宋简体"/>
          <w:color w:val="auto"/>
          <w:sz w:val="18"/>
          <w:szCs w:val="18"/>
          <w:lang w:eastAsia="zh-CN"/>
        </w:rPr>
        <w:t>说明：每年根据上级文件变动</w:t>
      </w:r>
    </w:p>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表1</w:t>
      </w: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rPr>
        <w:t>.居民医保住院报销政策</w:t>
      </w:r>
    </w:p>
    <w:tbl>
      <w:tblPr>
        <w:tblStyle w:val="15"/>
        <w:tblW w:w="10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267"/>
        <w:gridCol w:w="1125"/>
        <w:gridCol w:w="1266"/>
        <w:gridCol w:w="941"/>
        <w:gridCol w:w="1245"/>
        <w:gridCol w:w="115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570" w:type="dxa"/>
            <w:gridSpan w:val="2"/>
            <w:vAlign w:val="center"/>
          </w:tcPr>
          <w:p>
            <w:pPr>
              <w:jc w:val="center"/>
              <w:rPr>
                <w:color w:val="auto"/>
              </w:rPr>
            </w:pPr>
            <w:r>
              <w:rPr>
                <w:rFonts w:hint="eastAsia"/>
                <w:color w:val="auto"/>
              </w:rPr>
              <w:t>一级医疗机构</w:t>
            </w:r>
          </w:p>
        </w:tc>
        <w:tc>
          <w:tcPr>
            <w:tcW w:w="2391" w:type="dxa"/>
            <w:gridSpan w:val="2"/>
            <w:vAlign w:val="center"/>
          </w:tcPr>
          <w:p>
            <w:pPr>
              <w:jc w:val="center"/>
              <w:rPr>
                <w:color w:val="auto"/>
              </w:rPr>
            </w:pPr>
            <w:r>
              <w:rPr>
                <w:rFonts w:hint="eastAsia"/>
                <w:color w:val="auto"/>
              </w:rPr>
              <w:t>二级医疗机构</w:t>
            </w:r>
          </w:p>
        </w:tc>
        <w:tc>
          <w:tcPr>
            <w:tcW w:w="2186" w:type="dxa"/>
            <w:gridSpan w:val="2"/>
            <w:vAlign w:val="center"/>
          </w:tcPr>
          <w:p>
            <w:pPr>
              <w:jc w:val="center"/>
              <w:rPr>
                <w:color w:val="auto"/>
              </w:rPr>
            </w:pPr>
            <w:r>
              <w:rPr>
                <w:rFonts w:hint="eastAsia"/>
                <w:color w:val="auto"/>
              </w:rPr>
              <w:t>三级医疗机构</w:t>
            </w:r>
          </w:p>
        </w:tc>
        <w:tc>
          <w:tcPr>
            <w:tcW w:w="1151" w:type="dxa"/>
            <w:vMerge w:val="restart"/>
            <w:vAlign w:val="center"/>
          </w:tcPr>
          <w:p>
            <w:pPr>
              <w:jc w:val="center"/>
              <w:rPr>
                <w:color w:val="auto"/>
              </w:rPr>
            </w:pPr>
            <w:r>
              <w:rPr>
                <w:rFonts w:hint="eastAsia"/>
                <w:color w:val="auto"/>
                <w:lang w:eastAsia="zh-CN"/>
              </w:rPr>
              <w:t>年度支付限额</w:t>
            </w:r>
            <w:r>
              <w:rPr>
                <w:rFonts w:hint="eastAsia"/>
                <w:color w:val="auto"/>
              </w:rPr>
              <w:t>（元）</w:t>
            </w:r>
          </w:p>
        </w:tc>
        <w:tc>
          <w:tcPr>
            <w:tcW w:w="2020" w:type="dxa"/>
            <w:vMerge w:val="restart"/>
            <w:vAlign w:val="center"/>
          </w:tcPr>
          <w:p>
            <w:pPr>
              <w:jc w:val="center"/>
              <w:rPr>
                <w:color w:val="auto"/>
              </w:rPr>
            </w:pPr>
            <w:r>
              <w:rPr>
                <w:rFonts w:hint="eastAsia"/>
                <w:color w:val="auto"/>
              </w:rPr>
              <w:t>其他政策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03" w:type="dxa"/>
            <w:vAlign w:val="center"/>
          </w:tcPr>
          <w:p>
            <w:pPr>
              <w:jc w:val="center"/>
              <w:rPr>
                <w:color w:val="auto"/>
              </w:rPr>
            </w:pPr>
            <w:r>
              <w:rPr>
                <w:rFonts w:hint="eastAsia"/>
                <w:color w:val="auto"/>
              </w:rPr>
              <w:t>起付线（元）</w:t>
            </w:r>
          </w:p>
        </w:tc>
        <w:tc>
          <w:tcPr>
            <w:tcW w:w="1267" w:type="dxa"/>
            <w:vAlign w:val="center"/>
          </w:tcPr>
          <w:p>
            <w:pPr>
              <w:jc w:val="center"/>
              <w:rPr>
                <w:color w:val="auto"/>
              </w:rPr>
            </w:pPr>
            <w:r>
              <w:rPr>
                <w:rFonts w:hint="eastAsia"/>
                <w:color w:val="auto"/>
              </w:rPr>
              <w:t>报销比例</w:t>
            </w:r>
          </w:p>
        </w:tc>
        <w:tc>
          <w:tcPr>
            <w:tcW w:w="1125" w:type="dxa"/>
            <w:vAlign w:val="center"/>
          </w:tcPr>
          <w:p>
            <w:pPr>
              <w:jc w:val="center"/>
              <w:rPr>
                <w:color w:val="auto"/>
              </w:rPr>
            </w:pPr>
            <w:r>
              <w:rPr>
                <w:rFonts w:hint="eastAsia"/>
                <w:color w:val="auto"/>
              </w:rPr>
              <w:t>起付线（元）</w:t>
            </w:r>
          </w:p>
        </w:tc>
        <w:tc>
          <w:tcPr>
            <w:tcW w:w="1266" w:type="dxa"/>
            <w:vAlign w:val="center"/>
          </w:tcPr>
          <w:p>
            <w:pPr>
              <w:jc w:val="center"/>
              <w:rPr>
                <w:color w:val="auto"/>
              </w:rPr>
            </w:pPr>
            <w:r>
              <w:rPr>
                <w:rFonts w:hint="eastAsia"/>
                <w:color w:val="auto"/>
              </w:rPr>
              <w:t>报销比例</w:t>
            </w:r>
          </w:p>
        </w:tc>
        <w:tc>
          <w:tcPr>
            <w:tcW w:w="941" w:type="dxa"/>
            <w:vAlign w:val="center"/>
          </w:tcPr>
          <w:p>
            <w:pPr>
              <w:jc w:val="center"/>
              <w:rPr>
                <w:color w:val="auto"/>
              </w:rPr>
            </w:pPr>
            <w:r>
              <w:rPr>
                <w:rFonts w:hint="eastAsia"/>
                <w:color w:val="auto"/>
              </w:rPr>
              <w:t>起付线（元）</w:t>
            </w:r>
          </w:p>
        </w:tc>
        <w:tc>
          <w:tcPr>
            <w:tcW w:w="1245" w:type="dxa"/>
            <w:vAlign w:val="center"/>
          </w:tcPr>
          <w:p>
            <w:pPr>
              <w:jc w:val="center"/>
              <w:rPr>
                <w:color w:val="auto"/>
              </w:rPr>
            </w:pPr>
            <w:r>
              <w:rPr>
                <w:rFonts w:hint="eastAsia"/>
                <w:color w:val="auto"/>
              </w:rPr>
              <w:t>报销比例</w:t>
            </w:r>
          </w:p>
        </w:tc>
        <w:tc>
          <w:tcPr>
            <w:tcW w:w="1151" w:type="dxa"/>
            <w:vMerge w:val="continue"/>
            <w:vAlign w:val="center"/>
          </w:tcPr>
          <w:p>
            <w:pPr>
              <w:jc w:val="center"/>
              <w:rPr>
                <w:color w:val="auto"/>
              </w:rPr>
            </w:pPr>
          </w:p>
        </w:tc>
        <w:tc>
          <w:tcPr>
            <w:tcW w:w="2020"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303" w:type="dxa"/>
            <w:vAlign w:val="center"/>
          </w:tcPr>
          <w:p>
            <w:pPr>
              <w:jc w:val="center"/>
              <w:rPr>
                <w:color w:val="auto"/>
              </w:rPr>
            </w:pPr>
            <w:r>
              <w:rPr>
                <w:rFonts w:hint="eastAsia"/>
                <w:color w:val="auto"/>
              </w:rPr>
              <w:t>200</w:t>
            </w:r>
          </w:p>
        </w:tc>
        <w:tc>
          <w:tcPr>
            <w:tcW w:w="1267" w:type="dxa"/>
            <w:vAlign w:val="center"/>
          </w:tcPr>
          <w:p>
            <w:pPr>
              <w:jc w:val="center"/>
              <w:rPr>
                <w:color w:val="auto"/>
              </w:rPr>
            </w:pPr>
            <w:r>
              <w:rPr>
                <w:rFonts w:hint="eastAsia"/>
                <w:color w:val="auto"/>
              </w:rPr>
              <w:t>90%</w:t>
            </w:r>
          </w:p>
        </w:tc>
        <w:tc>
          <w:tcPr>
            <w:tcW w:w="1125" w:type="dxa"/>
            <w:vAlign w:val="center"/>
          </w:tcPr>
          <w:p>
            <w:pPr>
              <w:jc w:val="center"/>
              <w:rPr>
                <w:color w:val="auto"/>
              </w:rPr>
            </w:pPr>
            <w:r>
              <w:rPr>
                <w:rFonts w:hint="eastAsia"/>
                <w:color w:val="auto"/>
              </w:rPr>
              <w:t>500</w:t>
            </w:r>
          </w:p>
        </w:tc>
        <w:tc>
          <w:tcPr>
            <w:tcW w:w="1266" w:type="dxa"/>
            <w:vAlign w:val="center"/>
          </w:tcPr>
          <w:p>
            <w:pPr>
              <w:jc w:val="center"/>
              <w:rPr>
                <w:color w:val="auto"/>
              </w:rPr>
            </w:pPr>
            <w:r>
              <w:rPr>
                <w:rFonts w:hint="eastAsia"/>
                <w:color w:val="auto"/>
              </w:rPr>
              <w:t>75%</w:t>
            </w:r>
          </w:p>
        </w:tc>
        <w:tc>
          <w:tcPr>
            <w:tcW w:w="941" w:type="dxa"/>
            <w:vAlign w:val="center"/>
          </w:tcPr>
          <w:p>
            <w:pPr>
              <w:jc w:val="center"/>
              <w:rPr>
                <w:color w:val="auto"/>
              </w:rPr>
            </w:pPr>
            <w:r>
              <w:rPr>
                <w:rFonts w:hint="eastAsia"/>
                <w:color w:val="auto"/>
              </w:rPr>
              <w:t>1000</w:t>
            </w:r>
          </w:p>
        </w:tc>
        <w:tc>
          <w:tcPr>
            <w:tcW w:w="1245" w:type="dxa"/>
            <w:vAlign w:val="center"/>
          </w:tcPr>
          <w:p>
            <w:pPr>
              <w:jc w:val="center"/>
              <w:rPr>
                <w:color w:val="auto"/>
              </w:rPr>
            </w:pPr>
            <w:r>
              <w:rPr>
                <w:rFonts w:hint="eastAsia"/>
                <w:color w:val="auto"/>
                <w:lang w:val="en-US" w:eastAsia="zh-CN"/>
              </w:rPr>
              <w:t>60</w:t>
            </w:r>
            <w:r>
              <w:rPr>
                <w:rFonts w:hint="eastAsia"/>
                <w:color w:val="auto"/>
              </w:rPr>
              <w:t>%</w:t>
            </w:r>
          </w:p>
        </w:tc>
        <w:tc>
          <w:tcPr>
            <w:tcW w:w="1151" w:type="dxa"/>
            <w:vAlign w:val="center"/>
          </w:tcPr>
          <w:p>
            <w:pPr>
              <w:jc w:val="center"/>
              <w:rPr>
                <w:color w:val="auto"/>
              </w:rPr>
            </w:pPr>
            <w:r>
              <w:rPr>
                <w:rFonts w:hint="eastAsia"/>
                <w:color w:val="auto"/>
              </w:rPr>
              <w:t>20万</w:t>
            </w:r>
          </w:p>
        </w:tc>
        <w:tc>
          <w:tcPr>
            <w:tcW w:w="2020" w:type="dxa"/>
            <w:vAlign w:val="center"/>
          </w:tcPr>
          <w:p>
            <w:pPr>
              <w:rPr>
                <w:color w:val="auto"/>
              </w:rPr>
            </w:pPr>
            <w:r>
              <w:rPr>
                <w:rFonts w:hint="eastAsia"/>
                <w:color w:val="auto"/>
              </w:rPr>
              <w:t>一个自然年度内</w:t>
            </w:r>
            <w:r>
              <w:rPr>
                <w:rFonts w:hint="eastAsia"/>
                <w:color w:val="auto"/>
                <w:lang w:eastAsia="zh-CN"/>
              </w:rPr>
              <w:t>，</w:t>
            </w:r>
            <w:r>
              <w:rPr>
                <w:rFonts w:hint="eastAsia"/>
                <w:color w:val="auto"/>
              </w:rPr>
              <w:t>二</w:t>
            </w:r>
            <w:r>
              <w:rPr>
                <w:rFonts w:hint="eastAsia"/>
                <w:color w:val="auto"/>
                <w:lang w:eastAsia="zh-CN"/>
              </w:rPr>
              <w:t>、</w:t>
            </w:r>
            <w:r>
              <w:rPr>
                <w:rFonts w:hint="eastAsia"/>
                <w:color w:val="auto"/>
              </w:rPr>
              <w:t>三级医院住院第三次不收起付线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318" w:type="dxa"/>
            <w:gridSpan w:val="8"/>
            <w:vAlign w:val="center"/>
          </w:tcPr>
          <w:p>
            <w:pPr>
              <w:rPr>
                <w:rFonts w:hint="eastAsia"/>
                <w:color w:val="auto"/>
              </w:rPr>
            </w:pPr>
            <w:r>
              <w:rPr>
                <w:rFonts w:hint="eastAsia"/>
                <w:color w:val="auto"/>
              </w:rPr>
              <w:t>三级医疗机构住院分娩医疗费定额报销</w:t>
            </w:r>
            <w:r>
              <w:rPr>
                <w:rFonts w:hint="eastAsia"/>
                <w:color w:val="auto"/>
                <w:lang w:eastAsia="zh-CN"/>
              </w:rPr>
              <w:t>：</w:t>
            </w:r>
            <w:r>
              <w:rPr>
                <w:rFonts w:hint="eastAsia"/>
                <w:color w:val="auto"/>
              </w:rPr>
              <w:t>一孩、二孩1500元，三孩3000元</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13</w:t>
      </w:r>
      <w:r>
        <w:rPr>
          <w:rFonts w:hint="eastAsia" w:ascii="黑体" w:hAnsi="黑体" w:eastAsia="黑体" w:cs="黑体"/>
          <w:color w:val="auto"/>
          <w:sz w:val="32"/>
          <w:szCs w:val="32"/>
        </w:rPr>
        <w:t>.居民医保普通门诊报销政策</w:t>
      </w:r>
    </w:p>
    <w:tbl>
      <w:tblPr>
        <w:tblStyle w:val="15"/>
        <w:tblW w:w="10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212"/>
        <w:gridCol w:w="2296"/>
        <w:gridCol w:w="5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jc w:val="center"/>
        </w:trPr>
        <w:tc>
          <w:tcPr>
            <w:tcW w:w="1377" w:type="dxa"/>
            <w:vAlign w:val="center"/>
          </w:tcPr>
          <w:p>
            <w:pPr>
              <w:jc w:val="center"/>
              <w:rPr>
                <w:rFonts w:hint="eastAsia" w:ascii="宋体" w:hAnsi="宋体" w:eastAsia="宋体" w:cs="方正小标宋简体"/>
                <w:color w:val="auto"/>
                <w:sz w:val="21"/>
                <w:szCs w:val="21"/>
                <w:lang w:eastAsia="zh-CN"/>
              </w:rPr>
            </w:pPr>
            <w:r>
              <w:rPr>
                <w:rFonts w:hint="eastAsia" w:ascii="宋体" w:hAnsi="宋体" w:eastAsia="宋体" w:cs="方正小标宋简体"/>
                <w:color w:val="auto"/>
                <w:sz w:val="21"/>
                <w:szCs w:val="21"/>
              </w:rPr>
              <w:t>起付线</w:t>
            </w:r>
            <w:r>
              <w:rPr>
                <w:rFonts w:hint="eastAsia" w:ascii="宋体" w:hAnsi="宋体" w:cs="方正小标宋简体"/>
                <w:color w:val="auto"/>
                <w:sz w:val="21"/>
                <w:szCs w:val="21"/>
                <w:lang w:eastAsia="zh-CN"/>
              </w:rPr>
              <w:t>（元）</w:t>
            </w:r>
          </w:p>
        </w:tc>
        <w:tc>
          <w:tcPr>
            <w:tcW w:w="1212" w:type="dxa"/>
            <w:vAlign w:val="center"/>
          </w:tcPr>
          <w:p>
            <w:pPr>
              <w:jc w:val="center"/>
              <w:rPr>
                <w:rFonts w:hint="eastAsia" w:ascii="宋体" w:hAnsi="宋体" w:eastAsia="宋体" w:cs="方正小标宋简体"/>
                <w:color w:val="auto"/>
                <w:sz w:val="21"/>
                <w:szCs w:val="21"/>
              </w:rPr>
            </w:pPr>
            <w:r>
              <w:rPr>
                <w:rFonts w:hint="eastAsia" w:ascii="宋体" w:hAnsi="宋体" w:eastAsia="宋体" w:cs="方正小标宋简体"/>
                <w:color w:val="auto"/>
                <w:sz w:val="21"/>
                <w:szCs w:val="21"/>
              </w:rPr>
              <w:t>报销比例</w:t>
            </w:r>
          </w:p>
        </w:tc>
        <w:tc>
          <w:tcPr>
            <w:tcW w:w="2296" w:type="dxa"/>
            <w:vAlign w:val="center"/>
          </w:tcPr>
          <w:p>
            <w:pPr>
              <w:jc w:val="center"/>
              <w:rPr>
                <w:rFonts w:hint="eastAsia" w:ascii="宋体" w:hAnsi="宋体" w:eastAsia="宋体" w:cs="方正小标宋简体"/>
                <w:color w:val="auto"/>
                <w:sz w:val="21"/>
                <w:szCs w:val="21"/>
                <w:lang w:eastAsia="zh-CN"/>
              </w:rPr>
            </w:pPr>
            <w:r>
              <w:rPr>
                <w:rFonts w:hint="eastAsia" w:ascii="宋体" w:hAnsi="宋体" w:eastAsia="宋体" w:cs="方正小标宋简体"/>
                <w:color w:val="auto"/>
                <w:sz w:val="21"/>
                <w:szCs w:val="21"/>
                <w:lang w:eastAsia="zh-CN"/>
              </w:rPr>
              <w:t>医药费</w:t>
            </w:r>
            <w:r>
              <w:rPr>
                <w:rFonts w:hint="eastAsia" w:ascii="宋体" w:hAnsi="宋体" w:eastAsia="宋体" w:cs="方正小标宋简体"/>
                <w:color w:val="auto"/>
                <w:sz w:val="21"/>
                <w:szCs w:val="21"/>
              </w:rPr>
              <w:t>年度</w:t>
            </w:r>
            <w:r>
              <w:rPr>
                <w:rFonts w:hint="eastAsia" w:ascii="宋体" w:hAnsi="宋体" w:eastAsia="宋体" w:cs="方正小标宋简体"/>
                <w:color w:val="auto"/>
                <w:sz w:val="21"/>
                <w:szCs w:val="21"/>
                <w:lang w:eastAsia="zh-CN"/>
              </w:rPr>
              <w:t>限额</w:t>
            </w:r>
            <w:r>
              <w:rPr>
                <w:rFonts w:hint="eastAsia" w:ascii="宋体" w:hAnsi="宋体" w:cs="方正小标宋简体"/>
                <w:color w:val="auto"/>
                <w:sz w:val="21"/>
                <w:szCs w:val="21"/>
                <w:lang w:eastAsia="zh-CN"/>
              </w:rPr>
              <w:t>（元）</w:t>
            </w:r>
          </w:p>
        </w:tc>
        <w:tc>
          <w:tcPr>
            <w:tcW w:w="5414" w:type="dxa"/>
            <w:vAlign w:val="center"/>
          </w:tcPr>
          <w:p>
            <w:pPr>
              <w:jc w:val="center"/>
              <w:rPr>
                <w:rFonts w:hint="eastAsia" w:ascii="宋体" w:hAnsi="宋体" w:eastAsia="宋体" w:cs="方正小标宋简体"/>
                <w:color w:val="auto"/>
                <w:sz w:val="21"/>
                <w:szCs w:val="21"/>
              </w:rPr>
            </w:pPr>
            <w:r>
              <w:rPr>
                <w:rFonts w:hint="eastAsia" w:ascii="宋体" w:hAnsi="宋体" w:eastAsia="宋体" w:cs="方正小标宋简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77" w:type="dxa"/>
            <w:vAlign w:val="center"/>
          </w:tcPr>
          <w:p>
            <w:pPr>
              <w:jc w:val="center"/>
              <w:rPr>
                <w:rFonts w:hint="eastAsia" w:ascii="宋体" w:hAnsi="宋体" w:eastAsia="宋体" w:cs="方正小标宋简体"/>
                <w:color w:val="auto"/>
                <w:sz w:val="21"/>
                <w:szCs w:val="21"/>
              </w:rPr>
            </w:pPr>
            <w:r>
              <w:rPr>
                <w:rFonts w:hint="eastAsia" w:ascii="宋体" w:hAnsi="宋体" w:eastAsia="宋体" w:cs="方正小标宋简体"/>
                <w:color w:val="auto"/>
                <w:sz w:val="21"/>
                <w:szCs w:val="21"/>
              </w:rPr>
              <w:t>0</w:t>
            </w:r>
          </w:p>
        </w:tc>
        <w:tc>
          <w:tcPr>
            <w:tcW w:w="1212" w:type="dxa"/>
            <w:vAlign w:val="center"/>
          </w:tcPr>
          <w:p>
            <w:pPr>
              <w:jc w:val="center"/>
              <w:rPr>
                <w:rFonts w:hint="eastAsia" w:ascii="宋体" w:hAnsi="宋体" w:eastAsia="宋体" w:cs="方正小标宋简体"/>
                <w:color w:val="auto"/>
                <w:sz w:val="21"/>
                <w:szCs w:val="21"/>
              </w:rPr>
            </w:pPr>
            <w:r>
              <w:rPr>
                <w:rFonts w:hint="eastAsia" w:ascii="宋体" w:hAnsi="宋体" w:eastAsia="宋体" w:cs="方正小标宋简体"/>
                <w:color w:val="auto"/>
                <w:sz w:val="21"/>
                <w:szCs w:val="21"/>
                <w:lang w:val="en-US" w:eastAsia="zh-CN"/>
              </w:rPr>
              <w:t>60</w:t>
            </w:r>
            <w:r>
              <w:rPr>
                <w:rFonts w:hint="eastAsia" w:ascii="宋体" w:hAnsi="宋体" w:eastAsia="宋体" w:cs="方正小标宋简体"/>
                <w:color w:val="auto"/>
                <w:sz w:val="21"/>
                <w:szCs w:val="21"/>
              </w:rPr>
              <w:t>%</w:t>
            </w:r>
          </w:p>
        </w:tc>
        <w:tc>
          <w:tcPr>
            <w:tcW w:w="2296" w:type="dxa"/>
            <w:vAlign w:val="center"/>
          </w:tcPr>
          <w:p>
            <w:pPr>
              <w:jc w:val="center"/>
              <w:rPr>
                <w:rFonts w:hint="default" w:ascii="宋体" w:hAnsi="宋体" w:eastAsia="宋体" w:cs="方正小标宋简体"/>
                <w:color w:val="auto"/>
                <w:sz w:val="21"/>
                <w:szCs w:val="21"/>
                <w:lang w:val="en-US" w:eastAsia="zh-CN"/>
              </w:rPr>
            </w:pPr>
            <w:r>
              <w:rPr>
                <w:rFonts w:hint="eastAsia" w:ascii="宋体" w:hAnsi="宋体" w:eastAsia="宋体" w:cs="方正小标宋简体"/>
                <w:color w:val="auto"/>
                <w:sz w:val="21"/>
                <w:szCs w:val="21"/>
                <w:lang w:val="en-US" w:eastAsia="zh-CN"/>
              </w:rPr>
              <w:t>400</w:t>
            </w:r>
          </w:p>
        </w:tc>
        <w:tc>
          <w:tcPr>
            <w:tcW w:w="5414" w:type="dxa"/>
            <w:vAlign w:val="center"/>
          </w:tcPr>
          <w:p>
            <w:pPr>
              <w:jc w:val="center"/>
              <w:rPr>
                <w:rFonts w:hint="eastAsia" w:ascii="宋体" w:hAnsi="宋体" w:eastAsia="宋体" w:cs="方正小标宋简体"/>
                <w:color w:val="auto"/>
                <w:sz w:val="21"/>
                <w:szCs w:val="21"/>
                <w:lang w:eastAsia="zh-CN"/>
              </w:rPr>
            </w:pPr>
            <w:r>
              <w:rPr>
                <w:rFonts w:hint="eastAsia" w:ascii="宋体" w:hAnsi="宋体" w:eastAsia="宋体" w:cs="方正小标宋简体"/>
                <w:color w:val="auto"/>
                <w:sz w:val="21"/>
                <w:szCs w:val="21"/>
                <w:lang w:eastAsia="zh-CN"/>
              </w:rPr>
              <w:t>报销范围限本县区范围内的定点乡镇卫生院</w:t>
            </w:r>
            <w:r>
              <w:rPr>
                <w:rFonts w:hint="eastAsia" w:ascii="宋体" w:hAnsi="宋体" w:cs="方正小标宋简体"/>
                <w:color w:val="auto"/>
                <w:sz w:val="21"/>
                <w:szCs w:val="21"/>
                <w:lang w:eastAsia="zh-CN"/>
              </w:rPr>
              <w:t>、</w:t>
            </w:r>
            <w:r>
              <w:rPr>
                <w:rFonts w:hint="eastAsia" w:ascii="宋体" w:hAnsi="宋体" w:eastAsia="宋体" w:cs="方正小标宋简体"/>
                <w:color w:val="auto"/>
                <w:sz w:val="21"/>
                <w:szCs w:val="21"/>
                <w:lang w:eastAsia="zh-CN"/>
              </w:rPr>
              <w:t>社区卫生服务中心（站）</w:t>
            </w:r>
            <w:r>
              <w:rPr>
                <w:rFonts w:hint="eastAsia" w:ascii="宋体" w:hAnsi="宋体" w:cs="方正小标宋简体"/>
                <w:color w:val="auto"/>
                <w:sz w:val="21"/>
                <w:szCs w:val="21"/>
                <w:lang w:eastAsia="zh-CN"/>
              </w:rPr>
              <w:t>、</w:t>
            </w:r>
            <w:r>
              <w:rPr>
                <w:rFonts w:hint="eastAsia" w:ascii="宋体" w:hAnsi="宋体" w:eastAsia="宋体" w:cs="方正小标宋简体"/>
                <w:color w:val="auto"/>
                <w:sz w:val="21"/>
                <w:szCs w:val="21"/>
                <w:lang w:eastAsia="zh-CN"/>
              </w:rPr>
              <w:t>一体化管理村卫生室及高等院校校内医院</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表1</w:t>
      </w:r>
      <w:r>
        <w:rPr>
          <w:rFonts w:hint="eastAsia" w:ascii="黑体" w:hAnsi="黑体" w:eastAsia="黑体" w:cs="黑体"/>
          <w:color w:val="auto"/>
          <w:sz w:val="32"/>
          <w:szCs w:val="32"/>
          <w:lang w:val="en-US" w:eastAsia="zh-CN"/>
        </w:rPr>
        <w:t>4</w:t>
      </w:r>
      <w:r>
        <w:rPr>
          <w:rFonts w:hint="eastAsia" w:ascii="黑体" w:hAnsi="黑体" w:eastAsia="黑体" w:cs="黑体"/>
          <w:color w:val="auto"/>
          <w:sz w:val="32"/>
          <w:szCs w:val="32"/>
        </w:rPr>
        <w:t>.居民医保“两病”门诊报销政策</w:t>
      </w:r>
    </w:p>
    <w:tbl>
      <w:tblPr>
        <w:tblStyle w:val="15"/>
        <w:tblW w:w="10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2756"/>
        <w:gridCol w:w="1780"/>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30" w:type="dxa"/>
            <w:vAlign w:val="center"/>
          </w:tcPr>
          <w:p>
            <w:pPr>
              <w:jc w:val="center"/>
              <w:rPr>
                <w:rFonts w:ascii="宋体" w:hAnsi="宋体" w:cs="宋体"/>
                <w:color w:val="auto"/>
                <w:sz w:val="21"/>
                <w:szCs w:val="21"/>
              </w:rPr>
            </w:pPr>
            <w:r>
              <w:rPr>
                <w:rFonts w:hint="eastAsia" w:ascii="宋体" w:hAnsi="宋体" w:cs="宋体"/>
                <w:color w:val="auto"/>
                <w:sz w:val="21"/>
                <w:szCs w:val="21"/>
              </w:rPr>
              <w:t>病种</w:t>
            </w:r>
          </w:p>
        </w:tc>
        <w:tc>
          <w:tcPr>
            <w:tcW w:w="2756" w:type="dxa"/>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sz w:val="21"/>
                <w:szCs w:val="21"/>
              </w:rPr>
              <w:t>起付线</w:t>
            </w:r>
            <w:r>
              <w:rPr>
                <w:rFonts w:hint="eastAsia" w:ascii="宋体" w:hAnsi="宋体" w:cs="宋体"/>
                <w:color w:val="auto"/>
                <w:sz w:val="21"/>
                <w:szCs w:val="21"/>
                <w:lang w:eastAsia="zh-CN"/>
              </w:rPr>
              <w:t>（元）</w:t>
            </w:r>
          </w:p>
        </w:tc>
        <w:tc>
          <w:tcPr>
            <w:tcW w:w="1780" w:type="dxa"/>
            <w:vAlign w:val="center"/>
          </w:tcPr>
          <w:p>
            <w:pPr>
              <w:jc w:val="center"/>
              <w:rPr>
                <w:rFonts w:ascii="宋体" w:hAnsi="宋体" w:cs="宋体"/>
                <w:color w:val="auto"/>
                <w:sz w:val="21"/>
                <w:szCs w:val="21"/>
              </w:rPr>
            </w:pPr>
            <w:r>
              <w:rPr>
                <w:rFonts w:hint="eastAsia" w:ascii="宋体" w:hAnsi="宋体" w:cs="宋体"/>
                <w:color w:val="auto"/>
                <w:sz w:val="21"/>
                <w:szCs w:val="21"/>
              </w:rPr>
              <w:t>报销比例</w:t>
            </w:r>
          </w:p>
        </w:tc>
        <w:tc>
          <w:tcPr>
            <w:tcW w:w="4830" w:type="dxa"/>
            <w:vAlign w:val="center"/>
          </w:tcPr>
          <w:p>
            <w:pPr>
              <w:jc w:val="center"/>
              <w:rPr>
                <w:rFonts w:hint="eastAsia" w:ascii="宋体" w:hAnsi="宋体" w:eastAsia="宋体" w:cs="宋体"/>
                <w:color w:val="auto"/>
                <w:sz w:val="21"/>
                <w:szCs w:val="21"/>
                <w:lang w:eastAsia="zh-CN"/>
              </w:rPr>
            </w:pPr>
            <w:r>
              <w:rPr>
                <w:rFonts w:hint="eastAsia" w:ascii="宋体" w:hAnsi="宋体" w:cs="方正小标宋简体"/>
                <w:color w:val="auto"/>
                <w:sz w:val="21"/>
                <w:szCs w:val="21"/>
              </w:rPr>
              <w:t>年度支付</w:t>
            </w:r>
            <w:r>
              <w:rPr>
                <w:rFonts w:hint="eastAsia" w:ascii="宋体" w:hAnsi="宋体" w:cs="方正小标宋简体"/>
                <w:color w:val="auto"/>
                <w:sz w:val="21"/>
                <w:szCs w:val="21"/>
                <w:lang w:eastAsia="zh-CN"/>
              </w:rPr>
              <w:t>限额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 w:val="21"/>
                <w:szCs w:val="21"/>
              </w:rPr>
            </w:pPr>
            <w:r>
              <w:rPr>
                <w:rFonts w:hint="eastAsia" w:ascii="宋体" w:hAnsi="宋体" w:cs="宋体"/>
                <w:color w:val="auto"/>
                <w:sz w:val="21"/>
                <w:szCs w:val="21"/>
              </w:rPr>
              <w:t>高血压</w:t>
            </w:r>
          </w:p>
          <w:p>
            <w:pPr>
              <w:jc w:val="center"/>
              <w:rPr>
                <w:rFonts w:ascii="宋体" w:hAnsi="宋体" w:cs="宋体"/>
                <w:color w:val="auto"/>
                <w:sz w:val="21"/>
                <w:szCs w:val="21"/>
              </w:rPr>
            </w:pPr>
            <w:r>
              <w:rPr>
                <w:rFonts w:hint="eastAsia" w:ascii="宋体" w:hAnsi="宋体" w:cs="宋体"/>
                <w:color w:val="auto"/>
                <w:sz w:val="21"/>
                <w:szCs w:val="21"/>
              </w:rPr>
              <w:t>糖尿病</w:t>
            </w:r>
          </w:p>
        </w:tc>
        <w:tc>
          <w:tcPr>
            <w:tcW w:w="27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不设</w:t>
            </w:r>
          </w:p>
        </w:tc>
        <w:tc>
          <w:tcPr>
            <w:tcW w:w="17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1"/>
                <w:szCs w:val="21"/>
              </w:rPr>
            </w:pPr>
            <w:r>
              <w:rPr>
                <w:rFonts w:hint="eastAsia" w:ascii="宋体" w:hAnsi="宋体" w:cs="宋体"/>
                <w:color w:val="auto"/>
                <w:sz w:val="21"/>
                <w:szCs w:val="21"/>
                <w:lang w:val="en-US" w:eastAsia="zh-CN"/>
              </w:rPr>
              <w:t>70</w:t>
            </w:r>
            <w:r>
              <w:rPr>
                <w:rFonts w:hint="eastAsia" w:ascii="宋体" w:hAnsi="宋体" w:cs="宋体"/>
                <w:color w:val="auto"/>
                <w:sz w:val="21"/>
                <w:szCs w:val="21"/>
              </w:rPr>
              <w:t>%</w:t>
            </w:r>
          </w:p>
        </w:tc>
        <w:tc>
          <w:tcPr>
            <w:tcW w:w="48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 w:val="21"/>
                <w:szCs w:val="21"/>
              </w:rPr>
            </w:pPr>
            <w:r>
              <w:rPr>
                <w:rFonts w:hint="eastAsia" w:ascii="宋体" w:hAnsi="宋体" w:cs="宋体"/>
                <w:color w:val="auto"/>
                <w:sz w:val="21"/>
                <w:szCs w:val="21"/>
              </w:rPr>
              <w:t>高血压年度300元，普通糖尿病年度400元；</w:t>
            </w:r>
          </w:p>
          <w:p>
            <w:pPr>
              <w:jc w:val="center"/>
              <w:rPr>
                <w:rFonts w:hint="eastAsia" w:ascii="宋体" w:hAnsi="宋体" w:cs="宋体"/>
                <w:color w:val="auto"/>
                <w:sz w:val="21"/>
                <w:szCs w:val="21"/>
              </w:rPr>
            </w:pPr>
            <w:r>
              <w:rPr>
                <w:rFonts w:hint="eastAsia" w:ascii="宋体" w:hAnsi="宋体" w:cs="宋体"/>
                <w:color w:val="auto"/>
                <w:sz w:val="21"/>
                <w:szCs w:val="21"/>
              </w:rPr>
              <w:t>糖尿病（使用胰岛素）年度</w:t>
            </w:r>
            <w:r>
              <w:rPr>
                <w:rFonts w:hint="eastAsia" w:ascii="宋体" w:hAnsi="宋体" w:cs="宋体"/>
                <w:color w:val="auto"/>
                <w:sz w:val="21"/>
                <w:szCs w:val="21"/>
                <w:lang w:val="en-US" w:eastAsia="zh-CN"/>
              </w:rPr>
              <w:t>600</w:t>
            </w:r>
            <w:r>
              <w:rPr>
                <w:rFonts w:hint="eastAsia" w:ascii="宋体" w:hAnsi="宋体" w:cs="宋体"/>
                <w:color w:val="auto"/>
                <w:sz w:val="21"/>
                <w:szCs w:val="21"/>
              </w:rPr>
              <w:t>元；</w:t>
            </w:r>
          </w:p>
          <w:p>
            <w:pPr>
              <w:jc w:val="center"/>
              <w:rPr>
                <w:rFonts w:hint="eastAsia" w:ascii="宋体" w:hAnsi="宋体" w:cs="宋体"/>
                <w:color w:val="auto"/>
                <w:sz w:val="21"/>
                <w:szCs w:val="21"/>
              </w:rPr>
            </w:pPr>
            <w:r>
              <w:rPr>
                <w:rFonts w:hint="eastAsia" w:ascii="宋体" w:hAnsi="宋体" w:cs="宋体"/>
                <w:color w:val="auto"/>
                <w:sz w:val="21"/>
                <w:szCs w:val="21"/>
              </w:rPr>
              <w:t>高血压合并糖尿病年度</w:t>
            </w:r>
            <w:r>
              <w:rPr>
                <w:rFonts w:hint="eastAsia" w:ascii="宋体" w:hAnsi="宋体" w:cs="宋体"/>
                <w:color w:val="auto"/>
                <w:sz w:val="21"/>
                <w:szCs w:val="21"/>
                <w:lang w:val="en-US" w:eastAsia="zh-CN"/>
              </w:rPr>
              <w:t>600</w:t>
            </w:r>
            <w:r>
              <w:rPr>
                <w:rFonts w:hint="eastAsia" w:ascii="宋体" w:hAnsi="宋体" w:cs="宋体"/>
                <w:color w:val="auto"/>
                <w:sz w:val="21"/>
                <w:szCs w:val="21"/>
              </w:rPr>
              <w:t>元。</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表1</w:t>
      </w:r>
      <w:r>
        <w:rPr>
          <w:rFonts w:hint="eastAsia" w:ascii="黑体" w:hAnsi="黑体" w:eastAsia="黑体" w:cs="黑体"/>
          <w:color w:val="auto"/>
          <w:sz w:val="32"/>
          <w:szCs w:val="32"/>
          <w:lang w:val="en-US" w:eastAsia="zh-CN"/>
        </w:rPr>
        <w:t>5</w:t>
      </w:r>
      <w:r>
        <w:rPr>
          <w:rFonts w:hint="eastAsia" w:ascii="黑体" w:hAnsi="黑体" w:eastAsia="黑体" w:cs="黑体"/>
          <w:color w:val="auto"/>
          <w:sz w:val="32"/>
          <w:szCs w:val="32"/>
        </w:rPr>
        <w:t>.居民医保门诊慢</w:t>
      </w:r>
      <w:r>
        <w:rPr>
          <w:rFonts w:hint="eastAsia" w:ascii="黑体" w:hAnsi="黑体" w:eastAsia="黑体" w:cs="黑体"/>
          <w:color w:val="auto"/>
          <w:sz w:val="32"/>
          <w:szCs w:val="32"/>
          <w:lang w:eastAsia="zh-CN"/>
        </w:rPr>
        <w:t>特</w:t>
      </w:r>
      <w:r>
        <w:rPr>
          <w:rFonts w:hint="eastAsia" w:ascii="黑体" w:hAnsi="黑体" w:eastAsia="黑体" w:cs="黑体"/>
          <w:color w:val="auto"/>
          <w:sz w:val="32"/>
          <w:szCs w:val="32"/>
        </w:rPr>
        <w:t>病报销政策</w:t>
      </w:r>
    </w:p>
    <w:tbl>
      <w:tblPr>
        <w:tblStyle w:val="15"/>
        <w:tblW w:w="10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6208"/>
        <w:gridCol w:w="923"/>
        <w:gridCol w:w="785"/>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125" w:type="dxa"/>
            <w:vAlign w:val="center"/>
          </w:tcPr>
          <w:p>
            <w:pPr>
              <w:jc w:val="center"/>
              <w:rPr>
                <w:rFonts w:hint="eastAsia"/>
                <w:color w:val="auto"/>
              </w:rPr>
            </w:pPr>
            <w:r>
              <w:rPr>
                <w:rFonts w:hint="eastAsia"/>
                <w:color w:val="auto"/>
              </w:rPr>
              <w:t>病种</w:t>
            </w:r>
          </w:p>
          <w:p>
            <w:pPr>
              <w:jc w:val="center"/>
              <w:rPr>
                <w:rFonts w:hint="eastAsia" w:eastAsia="宋体"/>
                <w:color w:val="auto"/>
                <w:lang w:eastAsia="zh-CN"/>
              </w:rPr>
            </w:pPr>
            <w:r>
              <w:rPr>
                <w:rFonts w:hint="eastAsia"/>
                <w:color w:val="auto"/>
                <w:lang w:eastAsia="zh-CN"/>
              </w:rPr>
              <w:t>类别</w:t>
            </w:r>
          </w:p>
        </w:tc>
        <w:tc>
          <w:tcPr>
            <w:tcW w:w="6208" w:type="dxa"/>
            <w:vAlign w:val="center"/>
          </w:tcPr>
          <w:p>
            <w:pPr>
              <w:jc w:val="center"/>
              <w:rPr>
                <w:color w:val="auto"/>
              </w:rPr>
            </w:pPr>
            <w:r>
              <w:rPr>
                <w:rFonts w:hint="eastAsia"/>
                <w:color w:val="auto"/>
              </w:rPr>
              <w:t>病种种类</w:t>
            </w:r>
          </w:p>
        </w:tc>
        <w:tc>
          <w:tcPr>
            <w:tcW w:w="923" w:type="dxa"/>
            <w:vAlign w:val="center"/>
          </w:tcPr>
          <w:p>
            <w:pPr>
              <w:jc w:val="center"/>
              <w:rPr>
                <w:color w:val="auto"/>
              </w:rPr>
            </w:pPr>
            <w:r>
              <w:rPr>
                <w:rFonts w:hint="eastAsia"/>
                <w:color w:val="auto"/>
              </w:rPr>
              <w:t>起付线（元）</w:t>
            </w:r>
          </w:p>
        </w:tc>
        <w:tc>
          <w:tcPr>
            <w:tcW w:w="785" w:type="dxa"/>
            <w:vAlign w:val="center"/>
          </w:tcPr>
          <w:p>
            <w:pPr>
              <w:jc w:val="center"/>
              <w:rPr>
                <w:color w:val="auto"/>
              </w:rPr>
            </w:pPr>
            <w:r>
              <w:rPr>
                <w:rFonts w:hint="eastAsia"/>
                <w:color w:val="auto"/>
              </w:rPr>
              <w:t>报销比例</w:t>
            </w:r>
          </w:p>
        </w:tc>
        <w:tc>
          <w:tcPr>
            <w:tcW w:w="1355" w:type="dxa"/>
            <w:vAlign w:val="center"/>
          </w:tcPr>
          <w:p>
            <w:pPr>
              <w:jc w:val="center"/>
              <w:rPr>
                <w:rFonts w:hint="eastAsia" w:eastAsia="宋体"/>
                <w:color w:val="auto"/>
                <w:lang w:eastAsia="zh-CN"/>
              </w:rPr>
            </w:pPr>
            <w:r>
              <w:rPr>
                <w:rFonts w:hint="eastAsia"/>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125" w:type="dxa"/>
            <w:vAlign w:val="center"/>
          </w:tcPr>
          <w:p>
            <w:pPr>
              <w:jc w:val="center"/>
              <w:rPr>
                <w:color w:val="auto"/>
              </w:rPr>
            </w:pPr>
            <w:r>
              <w:rPr>
                <w:rFonts w:hint="eastAsia" w:eastAsia="宋体"/>
                <w:color w:val="auto"/>
                <w:lang w:val="en-US" w:eastAsia="zh-CN"/>
              </w:rPr>
              <w:t>甲类疾病</w:t>
            </w:r>
          </w:p>
        </w:tc>
        <w:tc>
          <w:tcPr>
            <w:tcW w:w="6208" w:type="dxa"/>
            <w:vAlign w:val="top"/>
          </w:tcPr>
          <w:p>
            <w:pPr>
              <w:widowControl w:val="0"/>
              <w:wordWrap/>
              <w:adjustRightInd/>
              <w:snapToGrid/>
              <w:spacing w:line="26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lang w:val="en-US" w:eastAsia="zh-CN"/>
              </w:rPr>
              <w:t>恶性肿瘤门诊治疗</w:t>
            </w:r>
            <w:r>
              <w:rPr>
                <w:rFonts w:hint="eastAsia" w:ascii="宋体" w:hAnsi="宋体" w:cs="宋体"/>
                <w:color w:val="auto"/>
                <w:lang w:val="en-US" w:eastAsia="zh-CN"/>
              </w:rPr>
              <w:t>；</w:t>
            </w:r>
            <w:r>
              <w:rPr>
                <w:rFonts w:hint="eastAsia" w:ascii="宋体" w:hAnsi="宋体" w:eastAsia="宋体" w:cs="宋体"/>
                <w:color w:val="auto"/>
                <w:lang w:val="en-US" w:eastAsia="zh-CN"/>
              </w:rPr>
              <w:t>2.白血病；3.尿毒症透析治疗；4.组织器官移植（抗排异治疗）</w:t>
            </w:r>
            <w:r>
              <w:rPr>
                <w:rFonts w:hint="eastAsia" w:ascii="宋体" w:hAnsi="宋体" w:cs="宋体"/>
                <w:color w:val="auto"/>
                <w:lang w:val="en-US" w:eastAsia="zh-CN"/>
              </w:rPr>
              <w:t>；</w:t>
            </w:r>
            <w:r>
              <w:rPr>
                <w:rFonts w:hint="eastAsia" w:ascii="宋体" w:hAnsi="宋体" w:eastAsia="宋体" w:cs="宋体"/>
                <w:color w:val="auto"/>
                <w:lang w:val="en-US" w:eastAsia="zh-CN"/>
              </w:rPr>
              <w:t>5.血友病。</w:t>
            </w:r>
          </w:p>
        </w:tc>
        <w:tc>
          <w:tcPr>
            <w:tcW w:w="923" w:type="dxa"/>
            <w:vMerge w:val="restart"/>
            <w:vAlign w:val="center"/>
          </w:tcPr>
          <w:p>
            <w:pPr>
              <w:jc w:val="both"/>
              <w:rPr>
                <w:rFonts w:hint="eastAsia"/>
                <w:color w:val="auto"/>
              </w:rPr>
            </w:pPr>
          </w:p>
          <w:p>
            <w:pPr>
              <w:ind w:firstLine="105" w:firstLineChars="50"/>
              <w:jc w:val="center"/>
              <w:rPr>
                <w:color w:val="auto"/>
              </w:rPr>
            </w:pPr>
            <w:r>
              <w:rPr>
                <w:rFonts w:hint="eastAsia"/>
                <w:color w:val="auto"/>
              </w:rPr>
              <w:t>200</w:t>
            </w:r>
          </w:p>
        </w:tc>
        <w:tc>
          <w:tcPr>
            <w:tcW w:w="785" w:type="dxa"/>
            <w:vMerge w:val="restart"/>
            <w:vAlign w:val="center"/>
          </w:tcPr>
          <w:p>
            <w:pPr>
              <w:jc w:val="center"/>
              <w:rPr>
                <w:rFonts w:hint="eastAsia"/>
                <w:color w:val="auto"/>
                <w:lang w:val="en-US" w:eastAsia="zh-CN"/>
              </w:rPr>
            </w:pPr>
          </w:p>
          <w:p>
            <w:pPr>
              <w:jc w:val="center"/>
              <w:rPr>
                <w:rFonts w:hint="eastAsia"/>
                <w:color w:val="auto"/>
                <w:lang w:val="en-US" w:eastAsia="zh-CN"/>
              </w:rPr>
            </w:pPr>
          </w:p>
          <w:p>
            <w:pPr>
              <w:jc w:val="center"/>
              <w:rPr>
                <w:rFonts w:hint="eastAsia"/>
                <w:color w:val="auto"/>
              </w:rPr>
            </w:pPr>
            <w:r>
              <w:rPr>
                <w:rFonts w:hint="eastAsia"/>
                <w:color w:val="auto"/>
                <w:lang w:val="en-US" w:eastAsia="zh-CN"/>
              </w:rPr>
              <w:t>65</w:t>
            </w:r>
            <w:r>
              <w:rPr>
                <w:rFonts w:hint="eastAsia"/>
                <w:color w:val="auto"/>
              </w:rPr>
              <w:t>%</w:t>
            </w:r>
          </w:p>
          <w:p>
            <w:pPr>
              <w:jc w:val="center"/>
              <w:rPr>
                <w:color w:val="auto"/>
              </w:rPr>
            </w:pPr>
          </w:p>
        </w:tc>
        <w:tc>
          <w:tcPr>
            <w:tcW w:w="1355" w:type="dxa"/>
            <w:vMerge w:val="restart"/>
            <w:vAlign w:val="center"/>
          </w:tcPr>
          <w:p>
            <w:pPr>
              <w:rPr>
                <w:rFonts w:hint="eastAsia"/>
                <w:color w:val="auto"/>
              </w:rPr>
            </w:pPr>
          </w:p>
          <w:p>
            <w:pPr>
              <w:rPr>
                <w:rFonts w:hint="eastAsia"/>
                <w:color w:val="auto"/>
                <w:lang w:eastAsia="zh-CN"/>
              </w:rPr>
            </w:pPr>
            <w:r>
              <w:rPr>
                <w:rFonts w:hint="eastAsia"/>
                <w:color w:val="auto"/>
                <w:lang w:val="en-US" w:eastAsia="zh-CN"/>
              </w:rPr>
              <w:t>1.</w:t>
            </w:r>
            <w:r>
              <w:rPr>
                <w:rFonts w:hint="eastAsia"/>
                <w:color w:val="auto"/>
                <w:lang w:eastAsia="zh-CN"/>
              </w:rPr>
              <w:t>申报慢特病</w:t>
            </w:r>
            <w:r>
              <w:rPr>
                <w:rFonts w:hint="eastAsia"/>
                <w:color w:val="auto"/>
              </w:rPr>
              <w:t>每人不超过2个病种</w:t>
            </w:r>
            <w:r>
              <w:rPr>
                <w:rFonts w:hint="eastAsia"/>
                <w:color w:val="auto"/>
                <w:lang w:eastAsia="zh-CN"/>
              </w:rPr>
              <w:t>。</w:t>
            </w:r>
          </w:p>
          <w:p>
            <w:pPr>
              <w:rPr>
                <w:rFonts w:hint="eastAsia"/>
                <w:color w:val="auto"/>
              </w:rPr>
            </w:pPr>
            <w:r>
              <w:rPr>
                <w:rFonts w:hint="eastAsia"/>
                <w:color w:val="auto"/>
                <w:lang w:val="en-US" w:eastAsia="zh-CN"/>
              </w:rPr>
              <w:t>2.</w:t>
            </w:r>
            <w:r>
              <w:rPr>
                <w:rFonts w:hint="eastAsia"/>
                <w:color w:val="auto"/>
              </w:rPr>
              <w:t>甲类病种与住院统筹合并使用年度</w:t>
            </w:r>
            <w:r>
              <w:rPr>
                <w:rFonts w:hint="eastAsia"/>
                <w:color w:val="auto"/>
                <w:lang w:eastAsia="zh-CN"/>
              </w:rPr>
              <w:t>支付限额</w:t>
            </w:r>
            <w:r>
              <w:rPr>
                <w:rFonts w:hint="eastAsia"/>
                <w:color w:val="auto"/>
              </w:rPr>
              <w:t>。</w:t>
            </w:r>
          </w:p>
          <w:p>
            <w:pPr>
              <w:rPr>
                <w:rFonts w:hint="eastAsia"/>
                <w:color w:val="auto"/>
                <w:lang w:eastAsia="zh-CN"/>
              </w:rPr>
            </w:pPr>
            <w:r>
              <w:rPr>
                <w:rFonts w:hint="eastAsia"/>
                <w:color w:val="auto"/>
                <w:lang w:val="en-US" w:eastAsia="zh-CN"/>
              </w:rPr>
              <w:t>3.</w:t>
            </w:r>
            <w:r>
              <w:rPr>
                <w:rFonts w:hint="eastAsia"/>
                <w:color w:val="auto"/>
                <w:lang w:eastAsia="zh-CN"/>
              </w:rPr>
              <w:t>门诊药品单独支付病种只报药品，不报检查，限额</w:t>
            </w:r>
            <w:r>
              <w:rPr>
                <w:rFonts w:hint="eastAsia"/>
                <w:color w:val="auto"/>
                <w:lang w:val="en-US" w:eastAsia="zh-CN"/>
              </w:rPr>
              <w:t>10000/年，</w:t>
            </w:r>
            <w:r>
              <w:rPr>
                <w:rFonts w:hint="eastAsia"/>
                <w:color w:val="auto"/>
              </w:rPr>
              <w:t>其他病种执3000元</w:t>
            </w:r>
            <w:r>
              <w:rPr>
                <w:rFonts w:hint="eastAsia"/>
                <w:color w:val="auto"/>
                <w:lang w:val="en-US" w:eastAsia="zh-CN"/>
              </w:rPr>
              <w:t>/年</w:t>
            </w:r>
            <w:r>
              <w:rPr>
                <w:rFonts w:hint="eastAsia"/>
                <w:color w:val="auto"/>
              </w:rPr>
              <w:t>限额。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2" w:hRule="atLeast"/>
          <w:jc w:val="center"/>
        </w:trPr>
        <w:tc>
          <w:tcPr>
            <w:tcW w:w="1125" w:type="dxa"/>
            <w:vAlign w:val="center"/>
          </w:tcPr>
          <w:p>
            <w:pPr>
              <w:rPr>
                <w:rFonts w:hint="eastAsia" w:eastAsia="宋体"/>
                <w:color w:val="auto"/>
                <w:lang w:eastAsia="zh-CN"/>
              </w:rPr>
            </w:pPr>
            <w:r>
              <w:rPr>
                <w:rFonts w:hint="eastAsia"/>
                <w:color w:val="auto"/>
                <w:lang w:eastAsia="zh-CN"/>
              </w:rPr>
              <w:t>乙类疾病</w:t>
            </w:r>
          </w:p>
        </w:tc>
        <w:tc>
          <w:tcPr>
            <w:tcW w:w="6208" w:type="dxa"/>
            <w:vAlign w:val="top"/>
          </w:tcPr>
          <w:p>
            <w:pPr>
              <w:widowControl w:val="0"/>
              <w:wordWrap/>
              <w:adjustRightInd/>
              <w:snapToGrid/>
              <w:spacing w:line="260" w:lineRule="exact"/>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lang w:eastAsia="zh-CN"/>
              </w:rPr>
              <w:t>1.</w:t>
            </w:r>
            <w:r>
              <w:rPr>
                <w:rFonts w:hint="eastAsia" w:ascii="宋体" w:hAnsi="宋体" w:eastAsia="宋体" w:cs="宋体"/>
                <w:color w:val="auto"/>
                <w:lang w:val="en-US" w:eastAsia="zh-CN"/>
              </w:rPr>
              <w:t>骨髓增生异常综合征；2.再生障碍性贫血；3.免疫性血小板减少性紫癜；4.原发性血小板增多症；5.真性红细胞增多症；6.原发性骨髓纤维化；7.高血压病伴并发症；8.冠心病；9.肺源性心脏病；10.慢性心力衰竭；11.慢性肾脏病；12.肾病综合征；13.重症肌无力；14.脑出血（恢复期</w:t>
            </w:r>
            <w:r>
              <w:rPr>
                <w:rFonts w:hint="eastAsia" w:ascii="宋体" w:hAnsi="宋体" w:cs="宋体"/>
                <w:color w:val="auto"/>
                <w:lang w:val="en-US" w:eastAsia="zh-CN"/>
              </w:rPr>
              <w:t>、</w:t>
            </w:r>
            <w:r>
              <w:rPr>
                <w:rFonts w:hint="eastAsia" w:ascii="宋体" w:hAnsi="宋体" w:eastAsia="宋体" w:cs="宋体"/>
                <w:color w:val="auto"/>
                <w:lang w:val="en-US" w:eastAsia="zh-CN"/>
              </w:rPr>
              <w:t>后遗症期）；15.脑梗死（恢复期</w:t>
            </w:r>
            <w:r>
              <w:rPr>
                <w:rFonts w:hint="eastAsia" w:ascii="宋体" w:hAnsi="宋体" w:cs="宋体"/>
                <w:color w:val="auto"/>
                <w:lang w:val="en-US" w:eastAsia="zh-CN"/>
              </w:rPr>
              <w:t>、</w:t>
            </w:r>
            <w:r>
              <w:rPr>
                <w:rFonts w:hint="eastAsia" w:ascii="宋体" w:hAnsi="宋体" w:eastAsia="宋体" w:cs="宋体"/>
                <w:color w:val="auto"/>
                <w:lang w:val="en-US" w:eastAsia="zh-CN"/>
              </w:rPr>
              <w:t>后遗症期）；16.帕金森病及综合征；17.癫痫；18.运动神经元病；19.肝豆状核变性；20.阿尔茨海默病；21.慢性阻塞性肺疾病；22.肺间质纤维化；23.系统性红斑狼疮；24.类风湿性关节炎；25.多发性肌炎（皮肌炎）；26.系统性血管炎；27.脊柱性关节炎（强直性脊柱炎）；28.系统性硬化症（硬皮病）；29.干燥综合征；30.糖尿病；31.股骨头坏死；32.严重精神障碍；33.其他精神障碍；34.生长激素缺乏症（限额10000）</w:t>
            </w:r>
            <w:r>
              <w:rPr>
                <w:rFonts w:hint="eastAsia" w:ascii="宋体" w:hAnsi="宋体" w:cs="宋体"/>
                <w:color w:val="auto"/>
                <w:lang w:val="en-US" w:eastAsia="zh-CN"/>
              </w:rPr>
              <w:t>；</w:t>
            </w:r>
            <w:r>
              <w:rPr>
                <w:rFonts w:hint="eastAsia" w:ascii="宋体" w:hAnsi="宋体" w:eastAsia="宋体" w:cs="宋体"/>
                <w:color w:val="auto"/>
                <w:lang w:val="en-US" w:eastAsia="zh-CN"/>
              </w:rPr>
              <w:t>35.残疾儿童康复治疗；36.肺结核及肺外其他部位结核</w:t>
            </w:r>
            <w:r>
              <w:rPr>
                <w:rFonts w:hint="eastAsia" w:ascii="宋体" w:hAnsi="宋体" w:cs="宋体"/>
                <w:color w:val="auto"/>
                <w:lang w:val="en-US" w:eastAsia="zh-CN"/>
              </w:rPr>
              <w:t>（</w:t>
            </w:r>
            <w:r>
              <w:rPr>
                <w:rFonts w:hint="eastAsia" w:ascii="宋体" w:hAnsi="宋体" w:eastAsia="宋体" w:cs="宋体"/>
                <w:color w:val="auto"/>
                <w:lang w:val="en-US" w:eastAsia="zh-CN"/>
              </w:rPr>
              <w:t>限额4000）</w:t>
            </w:r>
            <w:r>
              <w:rPr>
                <w:rFonts w:hint="eastAsia" w:ascii="宋体" w:hAnsi="宋体" w:cs="宋体"/>
                <w:color w:val="auto"/>
                <w:lang w:val="en-US" w:eastAsia="zh-CN"/>
              </w:rPr>
              <w:t>；</w:t>
            </w:r>
            <w:r>
              <w:rPr>
                <w:rFonts w:hint="eastAsia" w:ascii="宋体" w:hAnsi="宋体" w:eastAsia="宋体" w:cs="宋体"/>
                <w:color w:val="auto"/>
                <w:lang w:val="en-US" w:eastAsia="zh-CN"/>
              </w:rPr>
              <w:t>37.耐多药结核.广泛耐药结核（参照甲类疾病管理）</w:t>
            </w:r>
            <w:r>
              <w:rPr>
                <w:rFonts w:hint="eastAsia" w:ascii="宋体" w:hAnsi="宋体" w:cs="宋体"/>
                <w:color w:val="auto"/>
                <w:lang w:val="en-US" w:eastAsia="zh-CN"/>
              </w:rPr>
              <w:t>；</w:t>
            </w:r>
            <w:r>
              <w:rPr>
                <w:rFonts w:hint="eastAsia" w:ascii="宋体" w:hAnsi="宋体" w:eastAsia="宋体" w:cs="宋体"/>
                <w:color w:val="auto"/>
                <w:lang w:val="en-US" w:eastAsia="zh-CN"/>
              </w:rPr>
              <w:t>38.慢性乙肝（限额4000）</w:t>
            </w:r>
            <w:r>
              <w:rPr>
                <w:rFonts w:hint="eastAsia" w:ascii="宋体" w:hAnsi="宋体" w:cs="宋体"/>
                <w:color w:val="auto"/>
                <w:lang w:val="en-US" w:eastAsia="zh-CN"/>
              </w:rPr>
              <w:t>；</w:t>
            </w:r>
            <w:r>
              <w:rPr>
                <w:rFonts w:hint="eastAsia" w:ascii="宋体" w:hAnsi="宋体" w:eastAsia="宋体" w:cs="宋体"/>
                <w:color w:val="auto"/>
                <w:lang w:val="en-US" w:eastAsia="zh-CN"/>
              </w:rPr>
              <w:t>39.慢性丙肝（限额4000）</w:t>
            </w:r>
            <w:r>
              <w:rPr>
                <w:rFonts w:hint="eastAsia" w:ascii="宋体" w:hAnsi="宋体" w:cs="宋体"/>
                <w:color w:val="auto"/>
                <w:lang w:val="en-US" w:eastAsia="zh-CN"/>
              </w:rPr>
              <w:t>；</w:t>
            </w:r>
            <w:r>
              <w:rPr>
                <w:rFonts w:hint="eastAsia" w:ascii="宋体" w:hAnsi="宋体" w:eastAsia="宋体" w:cs="宋体"/>
                <w:color w:val="auto"/>
                <w:lang w:val="en-US" w:eastAsia="zh-CN"/>
              </w:rPr>
              <w:t>40.肝硬化（限额4000）</w:t>
            </w:r>
            <w:r>
              <w:rPr>
                <w:rFonts w:hint="eastAsia" w:ascii="宋体" w:hAnsi="宋体" w:cs="宋体"/>
                <w:color w:val="auto"/>
                <w:lang w:val="en-US" w:eastAsia="zh-CN"/>
              </w:rPr>
              <w:t>；</w:t>
            </w:r>
            <w:r>
              <w:rPr>
                <w:rFonts w:hint="eastAsia" w:ascii="宋体" w:hAnsi="宋体" w:eastAsia="宋体" w:cs="宋体"/>
                <w:color w:val="auto"/>
                <w:lang w:val="en-US" w:eastAsia="zh-CN"/>
              </w:rPr>
              <w:t>41.神经系统良性肿瘤门诊治疗；42.进行性肌营养不良；43.人类免疫缺陷病（</w:t>
            </w:r>
            <w:r>
              <w:rPr>
                <w:rFonts w:hint="eastAsia" w:ascii="宋体" w:hAnsi="宋体" w:eastAsia="宋体" w:cs="宋体"/>
                <w:color w:val="auto"/>
                <w:lang w:eastAsia="zh-CN"/>
              </w:rPr>
              <w:t>HIV</w:t>
            </w:r>
            <w:r>
              <w:rPr>
                <w:rFonts w:hint="eastAsia" w:ascii="宋体" w:hAnsi="宋体" w:eastAsia="宋体" w:cs="宋体"/>
                <w:color w:val="auto"/>
                <w:lang w:val="en-US" w:eastAsia="zh-CN"/>
              </w:rPr>
              <w:t>）。</w:t>
            </w:r>
          </w:p>
        </w:tc>
        <w:tc>
          <w:tcPr>
            <w:tcW w:w="923"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c>
          <w:tcPr>
            <w:tcW w:w="785"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c>
          <w:tcPr>
            <w:tcW w:w="1355"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125" w:type="dxa"/>
            <w:vAlign w:val="center"/>
          </w:tcPr>
          <w:p>
            <w:pPr>
              <w:rPr>
                <w:rFonts w:hint="eastAsia" w:ascii="Times New Roman" w:hAnsi="Times New Roman" w:eastAsia="宋体" w:cs="Times New Roman"/>
                <w:b/>
                <w:bCs/>
                <w:color w:val="auto"/>
                <w:kern w:val="2"/>
                <w:sz w:val="21"/>
                <w:szCs w:val="24"/>
                <w:lang w:val="en-US" w:eastAsia="zh-CN" w:bidi="ar-SA"/>
              </w:rPr>
            </w:pPr>
            <w:r>
              <w:rPr>
                <w:rFonts w:hint="eastAsia" w:eastAsia="宋体"/>
                <w:color w:val="auto"/>
                <w:lang w:val="en-US" w:eastAsia="zh-CN"/>
              </w:rPr>
              <w:t>过渡期病种（参照乙类疾病管理）</w:t>
            </w:r>
          </w:p>
        </w:tc>
        <w:tc>
          <w:tcPr>
            <w:tcW w:w="6208" w:type="dxa"/>
            <w:vAlign w:val="top"/>
          </w:tcPr>
          <w:p>
            <w:pPr>
              <w:widowControl w:val="0"/>
              <w:wordWrap/>
              <w:adjustRightInd/>
              <w:snapToGrid/>
              <w:spacing w:line="260" w:lineRule="exact"/>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lang w:val="en-US" w:eastAsia="zh-CN"/>
              </w:rPr>
              <w:t>1.扩张性心肌病；2.风湿性心脏瓣膜病；3.支气管哮喘；4.永久性甲状腺功能减退；5.脑垂体瘤；6.溶血性贫血；7.过敏性紫癜并肾病；8.静脉血栓症（含慢阻肺栓塞</w:t>
            </w:r>
            <w:r>
              <w:rPr>
                <w:rFonts w:hint="eastAsia" w:ascii="宋体" w:hAnsi="宋体" w:cs="宋体"/>
                <w:color w:val="auto"/>
                <w:lang w:val="en-US" w:eastAsia="zh-CN"/>
              </w:rPr>
              <w:t>、</w:t>
            </w:r>
            <w:r>
              <w:rPr>
                <w:rFonts w:hint="eastAsia" w:ascii="宋体" w:hAnsi="宋体" w:eastAsia="宋体" w:cs="宋体"/>
                <w:color w:val="auto"/>
                <w:lang w:val="en-US" w:eastAsia="zh-CN"/>
              </w:rPr>
              <w:t>深静脉血栓）；9.慢性肾小球肾炎；10.溃疡性结肠炎；11.克罗恩病；12.银屑病；13.肺动脉高压；14.自身免疫性肝炎；15.苯丙酮尿症。</w:t>
            </w:r>
          </w:p>
        </w:tc>
        <w:tc>
          <w:tcPr>
            <w:tcW w:w="923"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c>
          <w:tcPr>
            <w:tcW w:w="785"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c>
          <w:tcPr>
            <w:tcW w:w="1355"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1125" w:type="dxa"/>
            <w:vAlign w:val="center"/>
          </w:tcPr>
          <w:p>
            <w:pPr>
              <w:rPr>
                <w:rFonts w:hint="eastAsia" w:ascii="Times New Roman" w:hAnsi="Times New Roman" w:eastAsia="宋体" w:cs="Times New Roman"/>
                <w:b/>
                <w:bCs/>
                <w:color w:val="auto"/>
                <w:kern w:val="2"/>
                <w:sz w:val="21"/>
                <w:szCs w:val="24"/>
                <w:lang w:val="en-US" w:eastAsia="zh-CN" w:bidi="ar-SA"/>
              </w:rPr>
            </w:pPr>
            <w:r>
              <w:rPr>
                <w:rFonts w:hint="eastAsia" w:eastAsia="宋体"/>
                <w:color w:val="auto"/>
                <w:lang w:val="en-US" w:eastAsia="zh-CN"/>
              </w:rPr>
              <w:t>门诊药品单独支付病种（参照乙类疾病管理）</w:t>
            </w:r>
          </w:p>
        </w:tc>
        <w:tc>
          <w:tcPr>
            <w:tcW w:w="6208" w:type="dxa"/>
            <w:vAlign w:val="top"/>
          </w:tcPr>
          <w:p>
            <w:pPr>
              <w:widowControl w:val="0"/>
              <w:wordWrap/>
              <w:adjustRightInd/>
              <w:snapToGrid/>
              <w:spacing w:line="260" w:lineRule="exact"/>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1.银屑病（过渡期内按慢特病管理）；2.中重度特应性皮炎；3.肺动脉高压（过渡期内按慢特病管理）；4.便秘型肠易激综合征（IBS-C）；5.克</w:t>
            </w:r>
            <w:r>
              <w:rPr>
                <w:rFonts w:hint="eastAsia" w:ascii="宋体" w:hAnsi="宋体" w:eastAsia="宋体" w:cs="宋体"/>
                <w:color w:val="auto"/>
                <w:lang w:val="en-US" w:eastAsia="zh-CN"/>
              </w:rPr>
              <w:t>罗恩</w:t>
            </w:r>
            <w:r>
              <w:rPr>
                <w:rFonts w:hint="eastAsia" w:ascii="宋体" w:hAnsi="宋体" w:eastAsia="宋体" w:cs="宋体"/>
                <w:color w:val="auto"/>
                <w:kern w:val="2"/>
                <w:sz w:val="21"/>
                <w:szCs w:val="24"/>
                <w:lang w:val="en-US" w:eastAsia="zh-CN" w:bidi="ar-SA"/>
              </w:rPr>
              <w:t>病（过渡期内按慢特病管理）</w:t>
            </w:r>
            <w:r>
              <w:rPr>
                <w:rFonts w:hint="eastAsia" w:ascii="宋体" w:hAnsi="宋体" w:cs="宋体"/>
                <w:color w:val="auto"/>
                <w:kern w:val="2"/>
                <w:sz w:val="21"/>
                <w:szCs w:val="24"/>
                <w:lang w:val="en-US" w:eastAsia="zh-CN" w:bidi="ar-SA"/>
              </w:rPr>
              <w:t>；</w:t>
            </w:r>
            <w:r>
              <w:rPr>
                <w:rFonts w:hint="eastAsia" w:ascii="宋体" w:hAnsi="宋体" w:eastAsia="宋体" w:cs="宋体"/>
                <w:color w:val="auto"/>
                <w:kern w:val="2"/>
                <w:sz w:val="21"/>
                <w:szCs w:val="24"/>
                <w:lang w:val="en-US" w:eastAsia="zh-CN" w:bidi="ar-SA"/>
              </w:rPr>
              <w:t>6.溃疡性结（直）肠炎（过渡期内按慢特病管理）；7.脊髓性肌萎缩症；8.亨廷顿舞蹈病；9.多发性硬化；10.遗传性血管性水肿（HAE）；11.C型尼曼匹克病；12.肢端肥大症；13.子宫内膜异位症；14.黄斑病变；15.戈谢病；16.庞贝氏病；17.法布雷病；18.转甲状腺素蛋白淀粉样变性心肌病。</w:t>
            </w:r>
          </w:p>
        </w:tc>
        <w:tc>
          <w:tcPr>
            <w:tcW w:w="923"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c>
          <w:tcPr>
            <w:tcW w:w="785"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c>
          <w:tcPr>
            <w:tcW w:w="1355" w:type="dxa"/>
            <w:vMerge w:val="continue"/>
            <w:vAlign w:val="center"/>
          </w:tcPr>
          <w:p>
            <w:pPr>
              <w:rPr>
                <w:rFonts w:hint="eastAsia" w:ascii="Times New Roman" w:hAnsi="Times New Roman" w:eastAsia="宋体" w:cs="Times New Roman"/>
                <w:b/>
                <w:bCs/>
                <w:color w:val="auto"/>
                <w:kern w:val="2"/>
                <w:sz w:val="21"/>
                <w:szCs w:val="24"/>
                <w:lang w:val="en-US" w:eastAsia="zh-CN" w:bidi="ar-SA"/>
              </w:rPr>
            </w:pPr>
          </w:p>
        </w:tc>
      </w:tr>
    </w:tbl>
    <w:p>
      <w:pPr>
        <w:jc w:val="left"/>
        <w:rPr>
          <w:rFonts w:hint="eastAsia" w:ascii="方正小标宋简体" w:hAnsi="方正小标宋简体" w:eastAsia="方正小标宋简体" w:cs="方正小标宋简体"/>
          <w:color w:val="auto"/>
          <w:sz w:val="18"/>
          <w:szCs w:val="18"/>
          <w:lang w:eastAsia="zh-CN"/>
        </w:rPr>
      </w:pPr>
      <w:r>
        <w:rPr>
          <w:rFonts w:hint="eastAsia" w:ascii="方正小标宋简体" w:hAnsi="方正小标宋简体" w:eastAsia="方正小标宋简体" w:cs="方正小标宋简体"/>
          <w:color w:val="auto"/>
          <w:sz w:val="18"/>
          <w:szCs w:val="18"/>
          <w:lang w:eastAsia="zh-CN"/>
        </w:rPr>
        <w:t>说明：个别病种有特殊规定的，从其规定</w:t>
      </w:r>
    </w:p>
    <w:p>
      <w:pPr>
        <w:jc w:val="both"/>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表1</w:t>
      </w:r>
      <w:r>
        <w:rPr>
          <w:rFonts w:hint="eastAsia" w:ascii="黑体" w:hAnsi="黑体" w:eastAsia="黑体" w:cs="黑体"/>
          <w:color w:val="auto"/>
          <w:sz w:val="32"/>
          <w:szCs w:val="32"/>
          <w:lang w:val="en-US" w:eastAsia="zh-CN"/>
        </w:rPr>
        <w:t>6</w:t>
      </w:r>
      <w:r>
        <w:rPr>
          <w:rFonts w:hint="eastAsia" w:ascii="黑体" w:hAnsi="黑体" w:eastAsia="黑体" w:cs="黑体"/>
          <w:color w:val="auto"/>
          <w:sz w:val="32"/>
          <w:szCs w:val="32"/>
        </w:rPr>
        <w:t>.居民医保大病保险补偿政策</w:t>
      </w:r>
    </w:p>
    <w:tbl>
      <w:tblPr>
        <w:tblStyle w:val="15"/>
        <w:tblW w:w="10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1016"/>
        <w:gridCol w:w="5815"/>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921" w:type="dxa"/>
            <w:vAlign w:val="center"/>
          </w:tcPr>
          <w:p>
            <w:pPr>
              <w:jc w:val="center"/>
              <w:rPr>
                <w:color w:val="auto"/>
              </w:rPr>
            </w:pPr>
            <w:r>
              <w:rPr>
                <w:rFonts w:hint="eastAsia"/>
                <w:color w:val="auto"/>
              </w:rPr>
              <w:t>类别</w:t>
            </w:r>
          </w:p>
        </w:tc>
        <w:tc>
          <w:tcPr>
            <w:tcW w:w="1016" w:type="dxa"/>
            <w:vAlign w:val="center"/>
          </w:tcPr>
          <w:p>
            <w:pPr>
              <w:jc w:val="center"/>
              <w:rPr>
                <w:color w:val="auto"/>
              </w:rPr>
            </w:pPr>
            <w:r>
              <w:rPr>
                <w:rFonts w:hint="eastAsia"/>
                <w:color w:val="auto"/>
              </w:rPr>
              <w:t>起付线（元）</w:t>
            </w:r>
          </w:p>
        </w:tc>
        <w:tc>
          <w:tcPr>
            <w:tcW w:w="5815" w:type="dxa"/>
            <w:vAlign w:val="center"/>
          </w:tcPr>
          <w:p>
            <w:pPr>
              <w:jc w:val="center"/>
              <w:rPr>
                <w:color w:val="auto"/>
              </w:rPr>
            </w:pPr>
            <w:r>
              <w:rPr>
                <w:rFonts w:hint="eastAsia"/>
                <w:color w:val="auto"/>
              </w:rPr>
              <w:t>补偿比例</w:t>
            </w:r>
          </w:p>
        </w:tc>
        <w:tc>
          <w:tcPr>
            <w:tcW w:w="1644" w:type="dxa"/>
            <w:vAlign w:val="center"/>
          </w:tcPr>
          <w:p>
            <w:pPr>
              <w:jc w:val="center"/>
              <w:rPr>
                <w:rFonts w:hint="eastAsia" w:eastAsia="宋体"/>
                <w:color w:val="auto"/>
                <w:lang w:eastAsia="zh-CN"/>
              </w:rPr>
            </w:pPr>
            <w:r>
              <w:rPr>
                <w:rFonts w:hint="eastAsia"/>
                <w:color w:val="auto"/>
              </w:rPr>
              <w:t>年度支付限额</w:t>
            </w:r>
            <w:r>
              <w:rPr>
                <w:rFonts w:hint="eastAsia"/>
                <w:color w:val="auto"/>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1921" w:type="dxa"/>
            <w:vAlign w:val="center"/>
          </w:tcPr>
          <w:p>
            <w:pPr>
              <w:jc w:val="left"/>
              <w:rPr>
                <w:rFonts w:hint="eastAsia" w:ascii="Times New Roman" w:hAnsi="Times New Roman" w:eastAsia="宋体" w:cs="Times New Roman"/>
                <w:color w:val="auto"/>
              </w:rPr>
            </w:pPr>
            <w:r>
              <w:rPr>
                <w:rFonts w:hint="eastAsia" w:ascii="Times New Roman" w:hAnsi="Times New Roman" w:eastAsia="宋体" w:cs="Times New Roman"/>
                <w:color w:val="auto"/>
              </w:rPr>
              <w:t>居民大病保险</w:t>
            </w:r>
          </w:p>
        </w:tc>
        <w:tc>
          <w:tcPr>
            <w:tcW w:w="1016" w:type="dxa"/>
            <w:vAlign w:val="center"/>
          </w:tcPr>
          <w:p>
            <w:pPr>
              <w:jc w:val="left"/>
              <w:rPr>
                <w:rFonts w:hint="default" w:ascii="Times New Roman" w:hAnsi="Times New Roman" w:eastAsia="宋体" w:cs="Times New Roman"/>
                <w:color w:val="auto"/>
                <w:lang w:val="en-US" w:eastAsia="zh-CN"/>
              </w:rPr>
            </w:pPr>
            <w:r>
              <w:rPr>
                <w:rFonts w:hint="eastAsia" w:cs="Times New Roman"/>
                <w:color w:val="auto"/>
                <w:lang w:val="en-US" w:eastAsia="zh-CN"/>
              </w:rPr>
              <w:t>1.5万</w:t>
            </w:r>
          </w:p>
        </w:tc>
        <w:tc>
          <w:tcPr>
            <w:tcW w:w="5815" w:type="dxa"/>
            <w:vAlign w:val="center"/>
          </w:tcPr>
          <w:p>
            <w:pPr>
              <w:jc w:val="left"/>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经基本医疗保险报销后，个人负担的合规医疗费用按以下比例补偿：1.</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万元（含）至10万元之间的补偿60%；10万元（含）至20万元之间的补偿65%；20万元（含）至30万元之间的补偿70%；30万元（含）以上的补偿75%。</w:t>
            </w:r>
          </w:p>
        </w:tc>
        <w:tc>
          <w:tcPr>
            <w:tcW w:w="1644" w:type="dxa"/>
            <w:vAlign w:val="center"/>
          </w:tcPr>
          <w:p>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40万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21" w:type="dxa"/>
            <w:vAlign w:val="center"/>
          </w:tcPr>
          <w:p>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大病保险特殊药品</w:t>
            </w:r>
          </w:p>
        </w:tc>
        <w:tc>
          <w:tcPr>
            <w:tcW w:w="1016" w:type="dxa"/>
            <w:vAlign w:val="center"/>
          </w:tcPr>
          <w:p>
            <w:pPr>
              <w:jc w:val="center"/>
              <w:rPr>
                <w:rFonts w:hint="eastAsia" w:ascii="Times New Roman" w:hAnsi="Times New Roman" w:eastAsia="宋体" w:cs="Times New Roman"/>
                <w:color w:val="auto"/>
                <w:lang w:eastAsia="zh-CN"/>
              </w:rPr>
            </w:pPr>
            <w:r>
              <w:rPr>
                <w:rFonts w:hint="eastAsia" w:cs="Times New Roman"/>
                <w:color w:val="auto"/>
                <w:lang w:val="en-US" w:eastAsia="zh-CN"/>
              </w:rPr>
              <w:t>2万</w:t>
            </w:r>
          </w:p>
        </w:tc>
        <w:tc>
          <w:tcPr>
            <w:tcW w:w="5815" w:type="dxa"/>
            <w:vAlign w:val="center"/>
          </w:tcPr>
          <w:p>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80%</w:t>
            </w:r>
          </w:p>
        </w:tc>
        <w:tc>
          <w:tcPr>
            <w:tcW w:w="1644" w:type="dxa"/>
            <w:vAlign w:val="center"/>
          </w:tcPr>
          <w:p>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40万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1" w:type="dxa"/>
            <w:vAlign w:val="center"/>
          </w:tcPr>
          <w:p>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戈谢病</w:t>
            </w:r>
            <w:r>
              <w:rPr>
                <w:rFonts w:hint="eastAsia" w:cs="Times New Roman"/>
                <w:color w:val="auto"/>
                <w:lang w:eastAsia="zh-CN"/>
              </w:rPr>
              <w:t>、</w:t>
            </w:r>
            <w:r>
              <w:rPr>
                <w:rFonts w:hint="eastAsia" w:ascii="Times New Roman" w:hAnsi="Times New Roman" w:eastAsia="宋体" w:cs="Times New Roman"/>
                <w:color w:val="auto"/>
              </w:rPr>
              <w:t>庞贝氏病</w:t>
            </w:r>
            <w:r>
              <w:rPr>
                <w:rFonts w:hint="eastAsia" w:cs="Times New Roman"/>
                <w:color w:val="auto"/>
                <w:lang w:eastAsia="zh-CN"/>
              </w:rPr>
              <w:t>、</w:t>
            </w:r>
            <w:r>
              <w:rPr>
                <w:rFonts w:hint="eastAsia" w:ascii="Times New Roman" w:hAnsi="Times New Roman" w:eastAsia="宋体" w:cs="Times New Roman"/>
                <w:color w:val="auto"/>
              </w:rPr>
              <w:t>法布雷病</w:t>
            </w:r>
          </w:p>
        </w:tc>
        <w:tc>
          <w:tcPr>
            <w:tcW w:w="1016" w:type="dxa"/>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2万</w:t>
            </w:r>
          </w:p>
        </w:tc>
        <w:tc>
          <w:tcPr>
            <w:tcW w:w="5815" w:type="dxa"/>
            <w:vAlign w:val="center"/>
          </w:tcPr>
          <w:p>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2万元-40万元报销比例80%，40万元以上报销比例85%</w:t>
            </w:r>
          </w:p>
        </w:tc>
        <w:tc>
          <w:tcPr>
            <w:tcW w:w="1644" w:type="dxa"/>
            <w:vAlign w:val="center"/>
          </w:tcPr>
          <w:p>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90万</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lang w:eastAsia="zh-CN"/>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17</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居民</w:t>
      </w:r>
      <w:r>
        <w:rPr>
          <w:rFonts w:hint="eastAsia" w:ascii="黑体" w:hAnsi="黑体" w:eastAsia="黑体" w:cs="黑体"/>
          <w:color w:val="auto"/>
          <w:sz w:val="32"/>
          <w:szCs w:val="32"/>
        </w:rPr>
        <w:t>长期护理保险</w:t>
      </w:r>
      <w:r>
        <w:rPr>
          <w:rFonts w:hint="eastAsia" w:ascii="黑体" w:hAnsi="黑体" w:eastAsia="黑体" w:cs="黑体"/>
          <w:color w:val="auto"/>
          <w:sz w:val="32"/>
          <w:szCs w:val="32"/>
          <w:lang w:eastAsia="zh-CN"/>
        </w:rPr>
        <w:t>筹资政策</w:t>
      </w:r>
    </w:p>
    <w:tbl>
      <w:tblPr>
        <w:tblStyle w:val="16"/>
        <w:tblW w:w="10380"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2463"/>
        <w:gridCol w:w="2464"/>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33"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居民医保基金</w:t>
            </w:r>
          </w:p>
        </w:tc>
        <w:tc>
          <w:tcPr>
            <w:tcW w:w="2463"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居民个人承担</w:t>
            </w:r>
          </w:p>
        </w:tc>
        <w:tc>
          <w:tcPr>
            <w:tcW w:w="2464"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财政补助</w:t>
            </w:r>
          </w:p>
        </w:tc>
        <w:tc>
          <w:tcPr>
            <w:tcW w:w="2720" w:type="dxa"/>
            <w:vAlign w:val="center"/>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合计基金筹资标准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733"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15元/人/年</w:t>
            </w:r>
          </w:p>
        </w:tc>
        <w:tc>
          <w:tcPr>
            <w:tcW w:w="2463"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10元/人/年</w:t>
            </w:r>
          </w:p>
        </w:tc>
        <w:tc>
          <w:tcPr>
            <w:tcW w:w="2464"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5元/人/年</w:t>
            </w:r>
          </w:p>
        </w:tc>
        <w:tc>
          <w:tcPr>
            <w:tcW w:w="2720" w:type="dxa"/>
            <w:vAlign w:val="center"/>
          </w:tcPr>
          <w:p>
            <w:pPr>
              <w:jc w:val="center"/>
              <w:rPr>
                <w:rFonts w:hint="default"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30元/人/年</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18</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居民</w:t>
      </w:r>
      <w:r>
        <w:rPr>
          <w:rFonts w:hint="eastAsia" w:ascii="黑体" w:hAnsi="黑体" w:eastAsia="黑体" w:cs="黑体"/>
          <w:color w:val="auto"/>
          <w:sz w:val="32"/>
          <w:szCs w:val="32"/>
        </w:rPr>
        <w:t>长期护理保险政策</w:t>
      </w:r>
    </w:p>
    <w:tbl>
      <w:tblPr>
        <w:tblStyle w:val="15"/>
        <w:tblW w:w="10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3324"/>
        <w:gridCol w:w="2630"/>
        <w:gridCol w:w="3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354" w:type="dxa"/>
            <w:vAlign w:val="top"/>
          </w:tcPr>
          <w:p>
            <w:pPr>
              <w:jc w:val="center"/>
              <w:rPr>
                <w:rFonts w:hint="eastAsia" w:ascii="宋体" w:hAnsi="宋体" w:eastAsia="宋体" w:cs="方正小标宋简体"/>
                <w:color w:val="auto"/>
                <w:szCs w:val="21"/>
                <w:lang w:eastAsia="zh-CN"/>
              </w:rPr>
            </w:pPr>
            <w:r>
              <w:rPr>
                <w:rFonts w:hint="eastAsia" w:ascii="宋体" w:hAnsi="宋体" w:eastAsia="宋体" w:cs="方正小标宋简体"/>
                <w:color w:val="auto"/>
                <w:szCs w:val="21"/>
                <w:lang w:eastAsia="zh-CN"/>
              </w:rPr>
              <w:t>类别</w:t>
            </w:r>
          </w:p>
        </w:tc>
        <w:tc>
          <w:tcPr>
            <w:tcW w:w="3324"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类型</w:t>
            </w:r>
          </w:p>
        </w:tc>
        <w:tc>
          <w:tcPr>
            <w:tcW w:w="2630"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等级</w:t>
            </w:r>
          </w:p>
        </w:tc>
        <w:tc>
          <w:tcPr>
            <w:tcW w:w="3062"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日定额支付标准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354" w:type="dxa"/>
            <w:vMerge w:val="restart"/>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重度失能</w:t>
            </w:r>
          </w:p>
        </w:tc>
        <w:tc>
          <w:tcPr>
            <w:tcW w:w="3324" w:type="dxa"/>
            <w:vMerge w:val="restart"/>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专护（在定点医疗机构进行护理）</w:t>
            </w:r>
          </w:p>
        </w:tc>
        <w:tc>
          <w:tcPr>
            <w:tcW w:w="2630"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三级医院</w:t>
            </w:r>
          </w:p>
        </w:tc>
        <w:tc>
          <w:tcPr>
            <w:tcW w:w="3062"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val="en-US" w:eastAsia="zh-CN"/>
              </w:rPr>
              <w:t>160元</w:t>
            </w:r>
            <w:r>
              <w:rPr>
                <w:rFonts w:hint="eastAsia" w:ascii="宋体" w:hAnsi="宋体" w:eastAsia="宋体" w:cs="方正小标宋简体"/>
                <w:color w:val="auto"/>
                <w:szCs w:val="21"/>
              </w:rPr>
              <w:t>/床日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354" w:type="dxa"/>
            <w:vMerge w:val="continue"/>
            <w:vAlign w:val="center"/>
          </w:tcPr>
          <w:p>
            <w:pPr>
              <w:jc w:val="center"/>
              <w:rPr>
                <w:rFonts w:hint="eastAsia" w:ascii="宋体" w:hAnsi="宋体" w:eastAsia="宋体" w:cs="方正小标宋简体"/>
                <w:color w:val="auto"/>
                <w:szCs w:val="21"/>
              </w:rPr>
            </w:pPr>
          </w:p>
        </w:tc>
        <w:tc>
          <w:tcPr>
            <w:tcW w:w="3324" w:type="dxa"/>
            <w:vMerge w:val="continue"/>
            <w:vAlign w:val="center"/>
          </w:tcPr>
          <w:p>
            <w:pPr>
              <w:jc w:val="center"/>
              <w:rPr>
                <w:rFonts w:hint="eastAsia" w:ascii="宋体" w:hAnsi="宋体" w:eastAsia="宋体" w:cs="方正小标宋简体"/>
                <w:color w:val="auto"/>
                <w:szCs w:val="21"/>
              </w:rPr>
            </w:pPr>
          </w:p>
        </w:tc>
        <w:tc>
          <w:tcPr>
            <w:tcW w:w="2630"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二级医院</w:t>
            </w:r>
          </w:p>
        </w:tc>
        <w:tc>
          <w:tcPr>
            <w:tcW w:w="3062"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val="en-US" w:eastAsia="zh-CN"/>
              </w:rPr>
              <w:t>140</w:t>
            </w:r>
            <w:r>
              <w:rPr>
                <w:rFonts w:hint="eastAsia" w:ascii="宋体" w:hAnsi="宋体" w:eastAsia="宋体" w:cs="方正小标宋简体"/>
                <w:color w:val="auto"/>
                <w:szCs w:val="21"/>
              </w:rPr>
              <w:t>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4" w:type="dxa"/>
            <w:vMerge w:val="continue"/>
            <w:vAlign w:val="center"/>
          </w:tcPr>
          <w:p>
            <w:pPr>
              <w:jc w:val="center"/>
              <w:rPr>
                <w:rFonts w:hint="eastAsia" w:ascii="宋体" w:hAnsi="宋体" w:eastAsia="宋体" w:cs="方正小标宋简体"/>
                <w:color w:val="auto"/>
                <w:szCs w:val="21"/>
              </w:rPr>
            </w:pPr>
          </w:p>
        </w:tc>
        <w:tc>
          <w:tcPr>
            <w:tcW w:w="3324" w:type="dxa"/>
            <w:vMerge w:val="continue"/>
            <w:vAlign w:val="center"/>
          </w:tcPr>
          <w:p>
            <w:pPr>
              <w:jc w:val="center"/>
              <w:rPr>
                <w:rFonts w:hint="eastAsia" w:ascii="宋体" w:hAnsi="宋体" w:eastAsia="宋体" w:cs="方正小标宋简体"/>
                <w:color w:val="auto"/>
                <w:szCs w:val="21"/>
              </w:rPr>
            </w:pPr>
          </w:p>
        </w:tc>
        <w:tc>
          <w:tcPr>
            <w:tcW w:w="2630"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一级医院</w:t>
            </w:r>
          </w:p>
        </w:tc>
        <w:tc>
          <w:tcPr>
            <w:tcW w:w="3062" w:type="dxa"/>
            <w:vAlign w:val="top"/>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val="en-US" w:eastAsia="zh-CN"/>
              </w:rPr>
              <w:t>120</w:t>
            </w:r>
            <w:r>
              <w:rPr>
                <w:rFonts w:hint="eastAsia" w:ascii="宋体" w:hAnsi="宋体" w:eastAsia="宋体" w:cs="方正小标宋简体"/>
                <w:color w:val="auto"/>
                <w:szCs w:val="21"/>
              </w:rPr>
              <w:t>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354" w:type="dxa"/>
            <w:vMerge w:val="continue"/>
            <w:vAlign w:val="center"/>
          </w:tcPr>
          <w:p>
            <w:pPr>
              <w:jc w:val="center"/>
              <w:rPr>
                <w:rFonts w:hint="eastAsia" w:ascii="宋体" w:hAnsi="宋体" w:eastAsia="宋体" w:cs="方正小标宋简体"/>
                <w:color w:val="auto"/>
                <w:szCs w:val="21"/>
              </w:rPr>
            </w:pPr>
          </w:p>
        </w:tc>
        <w:tc>
          <w:tcPr>
            <w:tcW w:w="332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院护（在定点护理机构进行护理）</w:t>
            </w:r>
          </w:p>
        </w:tc>
        <w:tc>
          <w:tcPr>
            <w:tcW w:w="2630" w:type="dxa"/>
            <w:vAlign w:val="center"/>
          </w:tcPr>
          <w:p>
            <w:pPr>
              <w:jc w:val="center"/>
              <w:rPr>
                <w:rFonts w:hint="eastAsia" w:ascii="宋体" w:hAnsi="宋体" w:eastAsia="宋体" w:cs="方正小标宋简体"/>
                <w:color w:val="auto"/>
                <w:szCs w:val="21"/>
              </w:rPr>
            </w:pPr>
          </w:p>
        </w:tc>
        <w:tc>
          <w:tcPr>
            <w:tcW w:w="3062"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val="en-US" w:eastAsia="zh-CN"/>
              </w:rPr>
              <w:t>40</w:t>
            </w:r>
            <w:r>
              <w:rPr>
                <w:rFonts w:hint="eastAsia" w:ascii="宋体" w:hAnsi="宋体" w:eastAsia="宋体" w:cs="方正小标宋简体"/>
                <w:color w:val="auto"/>
                <w:szCs w:val="21"/>
              </w:rPr>
              <w:t>元/床日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54" w:type="dxa"/>
            <w:vMerge w:val="continue"/>
            <w:vAlign w:val="center"/>
          </w:tcPr>
          <w:p>
            <w:pPr>
              <w:jc w:val="center"/>
              <w:rPr>
                <w:rFonts w:hint="eastAsia" w:ascii="宋体" w:hAnsi="宋体" w:eastAsia="宋体" w:cs="方正小标宋简体"/>
                <w:color w:val="auto"/>
                <w:szCs w:val="21"/>
              </w:rPr>
            </w:pPr>
          </w:p>
        </w:tc>
        <w:tc>
          <w:tcPr>
            <w:tcW w:w="3324"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rPr>
              <w:t>家护（在家中进行护理）</w:t>
            </w:r>
          </w:p>
        </w:tc>
        <w:tc>
          <w:tcPr>
            <w:tcW w:w="2630" w:type="dxa"/>
            <w:vAlign w:val="center"/>
          </w:tcPr>
          <w:p>
            <w:pPr>
              <w:jc w:val="center"/>
              <w:rPr>
                <w:rFonts w:hint="eastAsia" w:ascii="宋体" w:hAnsi="宋体" w:eastAsia="宋体" w:cs="方正小标宋简体"/>
                <w:color w:val="auto"/>
                <w:szCs w:val="21"/>
              </w:rPr>
            </w:pPr>
          </w:p>
        </w:tc>
        <w:tc>
          <w:tcPr>
            <w:tcW w:w="3062" w:type="dxa"/>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val="en-US" w:eastAsia="zh-CN"/>
              </w:rPr>
              <w:t>20</w:t>
            </w:r>
            <w:r>
              <w:rPr>
                <w:rFonts w:hint="default" w:ascii="宋体" w:hAnsi="宋体" w:eastAsia="宋体" w:cs="方正小标宋简体"/>
                <w:color w:val="auto"/>
                <w:szCs w:val="21"/>
                <w:lang w:val="en-US" w:eastAsia="zh-CN"/>
              </w:rPr>
              <w:t>元/日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370" w:type="dxa"/>
            <w:gridSpan w:val="4"/>
            <w:vAlign w:val="center"/>
          </w:tcPr>
          <w:p>
            <w:pPr>
              <w:jc w:val="center"/>
              <w:rPr>
                <w:rFonts w:hint="eastAsia" w:ascii="宋体" w:hAnsi="宋体" w:eastAsia="宋体" w:cs="方正小标宋简体"/>
                <w:color w:val="auto"/>
                <w:szCs w:val="21"/>
                <w:lang w:val="en-US" w:eastAsia="zh-CN"/>
              </w:rPr>
            </w:pPr>
            <w:r>
              <w:rPr>
                <w:rFonts w:hint="eastAsia" w:ascii="宋体" w:hAnsi="宋体" w:cs="方正小标宋简体"/>
                <w:b/>
                <w:bCs/>
                <w:color w:val="auto"/>
                <w:sz w:val="21"/>
                <w:szCs w:val="21"/>
                <w:lang w:eastAsia="zh-CN"/>
              </w:rPr>
              <w:t>经办机构及服务电话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354" w:type="dxa"/>
            <w:vAlign w:val="center"/>
          </w:tcPr>
          <w:p>
            <w:pPr>
              <w:jc w:val="center"/>
              <w:rPr>
                <w:rFonts w:hint="eastAsia" w:ascii="宋体" w:hAnsi="宋体" w:eastAsia="宋体" w:cs="方正小标宋简体"/>
                <w:color w:val="auto"/>
                <w:szCs w:val="21"/>
                <w:lang w:eastAsia="zh-CN"/>
              </w:rPr>
            </w:pPr>
            <w:r>
              <w:rPr>
                <w:rFonts w:hint="eastAsia" w:ascii="宋体" w:hAnsi="宋体" w:cs="方正小标宋简体"/>
                <w:color w:val="auto"/>
                <w:szCs w:val="21"/>
                <w:lang w:eastAsia="zh-CN"/>
              </w:rPr>
              <w:t>阳信县</w:t>
            </w:r>
          </w:p>
        </w:tc>
        <w:tc>
          <w:tcPr>
            <w:tcW w:w="5954" w:type="dxa"/>
            <w:gridSpan w:val="2"/>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eastAsia="zh-CN"/>
              </w:rPr>
              <w:t>中国人寿保险股份有限公司滨州分公司</w:t>
            </w:r>
          </w:p>
        </w:tc>
        <w:tc>
          <w:tcPr>
            <w:tcW w:w="3062" w:type="dxa"/>
            <w:vAlign w:val="center"/>
          </w:tcPr>
          <w:p>
            <w:pPr>
              <w:jc w:val="center"/>
              <w:rPr>
                <w:rFonts w:hint="eastAsia"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8228108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54" w:type="dxa"/>
            <w:vAlign w:val="center"/>
          </w:tcPr>
          <w:p>
            <w:pPr>
              <w:jc w:val="center"/>
              <w:rPr>
                <w:rFonts w:hint="eastAsia" w:ascii="宋体" w:hAnsi="宋体" w:eastAsia="宋体" w:cs="方正小标宋简体"/>
                <w:color w:val="auto"/>
                <w:szCs w:val="21"/>
              </w:rPr>
            </w:pPr>
            <w:r>
              <w:rPr>
                <w:rFonts w:hint="eastAsia" w:ascii="宋体" w:hAnsi="宋体" w:cs="方正小标宋简体"/>
                <w:color w:val="auto"/>
                <w:szCs w:val="21"/>
                <w:lang w:eastAsia="zh-CN"/>
              </w:rPr>
              <w:t>惠民县</w:t>
            </w:r>
          </w:p>
        </w:tc>
        <w:tc>
          <w:tcPr>
            <w:tcW w:w="5954" w:type="dxa"/>
            <w:gridSpan w:val="2"/>
            <w:vAlign w:val="center"/>
          </w:tcPr>
          <w:p>
            <w:pPr>
              <w:jc w:val="center"/>
              <w:rPr>
                <w:rFonts w:hint="eastAsia" w:ascii="宋体" w:hAnsi="宋体" w:eastAsia="宋体" w:cs="方正小标宋简体"/>
                <w:color w:val="auto"/>
                <w:szCs w:val="21"/>
              </w:rPr>
            </w:pPr>
            <w:r>
              <w:rPr>
                <w:rFonts w:hint="eastAsia" w:ascii="宋体" w:hAnsi="宋体" w:eastAsia="宋体" w:cs="方正小标宋简体"/>
                <w:color w:val="auto"/>
                <w:szCs w:val="21"/>
                <w:lang w:eastAsia="zh-CN"/>
              </w:rPr>
              <w:t>中国人民财产保险股份有限公司滨州市分公司</w:t>
            </w:r>
          </w:p>
        </w:tc>
        <w:tc>
          <w:tcPr>
            <w:tcW w:w="3062" w:type="dxa"/>
            <w:vAlign w:val="center"/>
          </w:tcPr>
          <w:p>
            <w:pPr>
              <w:jc w:val="center"/>
              <w:rPr>
                <w:rFonts w:hint="eastAsia" w:ascii="宋体" w:hAnsi="宋体" w:eastAsia="宋体" w:cs="方正小标宋简体"/>
                <w:color w:val="auto"/>
                <w:szCs w:val="21"/>
                <w:lang w:val="en-US" w:eastAsia="zh-CN"/>
              </w:rPr>
            </w:pPr>
            <w:r>
              <w:rPr>
                <w:rFonts w:hint="eastAsia" w:ascii="宋体" w:hAnsi="宋体" w:eastAsia="宋体" w:cs="方正小标宋简体"/>
                <w:color w:val="auto"/>
                <w:szCs w:val="21"/>
                <w:lang w:val="en-US" w:eastAsia="zh-CN"/>
              </w:rPr>
              <w:t>5320717</w:t>
            </w:r>
            <w:r>
              <w:rPr>
                <w:rFonts w:hint="eastAsia" w:ascii="宋体" w:hAnsi="宋体" w:cs="方正小标宋简体"/>
                <w:color w:val="auto"/>
                <w:szCs w:val="21"/>
                <w:lang w:val="en-US" w:eastAsia="zh-CN"/>
              </w:rPr>
              <w:t>、</w:t>
            </w:r>
            <w:r>
              <w:rPr>
                <w:rFonts w:hint="eastAsia" w:ascii="宋体" w:hAnsi="宋体" w:eastAsia="宋体" w:cs="方正小标宋简体"/>
                <w:color w:val="auto"/>
                <w:szCs w:val="21"/>
                <w:lang w:val="en-US" w:eastAsia="zh-CN"/>
              </w:rPr>
              <w:t>5234567</w:t>
            </w:r>
          </w:p>
        </w:tc>
      </w:tr>
    </w:tbl>
    <w:p>
      <w:pPr>
        <w:widowControl/>
        <w:wordWrap/>
        <w:adjustRightInd/>
        <w:snapToGrid/>
        <w:jc w:val="left"/>
        <w:textAlignment w:val="auto"/>
        <w:outlineLvl w:val="9"/>
        <w:rPr>
          <w:rFonts w:hint="eastAsia" w:asciiTheme="minorEastAsia" w:hAnsiTheme="minorEastAsia" w:eastAsiaTheme="minorEastAsia" w:cstheme="minorEastAsia"/>
          <w:b/>
          <w:color w:val="000000"/>
          <w:kern w:val="0"/>
          <w:sz w:val="36"/>
          <w:szCs w:val="36"/>
          <w:lang w:eastAsia="zh-CN"/>
        </w:rPr>
      </w:pPr>
    </w:p>
    <w:p>
      <w:pPr>
        <w:widowControl/>
        <w:wordWrap/>
        <w:adjustRightInd/>
        <w:snapToGrid/>
        <w:jc w:val="left"/>
        <w:textAlignment w:val="auto"/>
        <w:outlineLvl w:val="9"/>
        <w:rPr>
          <w:rFonts w:hint="eastAsia" w:asciiTheme="minorEastAsia" w:hAnsiTheme="minorEastAsia" w:eastAsiaTheme="minorEastAsia" w:cstheme="minorEastAsia"/>
          <w:b/>
          <w:color w:val="000000"/>
          <w:kern w:val="0"/>
          <w:sz w:val="36"/>
          <w:szCs w:val="36"/>
          <w:lang w:eastAsia="zh-CN"/>
        </w:rPr>
      </w:pPr>
      <w:r>
        <w:rPr>
          <w:rFonts w:hint="eastAsia" w:asciiTheme="minorEastAsia" w:hAnsiTheme="minorEastAsia" w:eastAsiaTheme="minorEastAsia" w:cstheme="minorEastAsia"/>
          <w:b/>
          <w:color w:val="000000"/>
          <w:kern w:val="0"/>
          <w:sz w:val="36"/>
          <w:szCs w:val="36"/>
          <w:lang w:eastAsia="zh-CN"/>
        </w:rPr>
        <w:t>三、医保扶贫和医疗救助部分</w:t>
      </w:r>
    </w:p>
    <w:p>
      <w:pPr>
        <w:pStyle w:val="9"/>
        <w:ind w:firstLine="2880" w:firstLineChars="900"/>
        <w:jc w:val="both"/>
        <w:rPr>
          <w:rFonts w:hint="eastAsia" w:ascii="黑体" w:hAnsi="黑体" w:eastAsia="黑体" w:cs="黑体"/>
          <w:color w:val="auto"/>
          <w:kern w:val="2"/>
          <w:sz w:val="32"/>
          <w:szCs w:val="32"/>
          <w:lang w:eastAsia="zh-CN" w:bidi="ar-SA"/>
        </w:rPr>
      </w:pPr>
    </w:p>
    <w:p>
      <w:pPr>
        <w:pStyle w:val="9"/>
        <w:ind w:firstLine="2880" w:firstLineChars="900"/>
        <w:jc w:val="both"/>
        <w:rPr>
          <w:rFonts w:hint="eastAsia"/>
          <w:color w:val="auto"/>
        </w:rPr>
      </w:pPr>
      <w:r>
        <w:rPr>
          <w:rFonts w:hint="eastAsia" w:ascii="黑体" w:hAnsi="黑体" w:eastAsia="黑体" w:cs="黑体"/>
          <w:color w:val="auto"/>
          <w:kern w:val="2"/>
          <w:sz w:val="32"/>
          <w:szCs w:val="32"/>
          <w:lang w:eastAsia="zh-CN" w:bidi="ar-SA"/>
        </w:rPr>
        <w:t>表</w:t>
      </w:r>
      <w:r>
        <w:rPr>
          <w:rFonts w:hint="eastAsia" w:ascii="黑体" w:hAnsi="黑体" w:eastAsia="黑体" w:cs="黑体"/>
          <w:color w:val="auto"/>
          <w:kern w:val="2"/>
          <w:sz w:val="32"/>
          <w:szCs w:val="32"/>
          <w:lang w:val="en-US" w:eastAsia="zh-CN" w:bidi="ar-SA"/>
        </w:rPr>
        <w:t>19.大病保险倾斜政策</w:t>
      </w:r>
    </w:p>
    <w:tbl>
      <w:tblPr>
        <w:tblStyle w:val="15"/>
        <w:tblW w:w="10438"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1096"/>
        <w:gridCol w:w="1431"/>
        <w:gridCol w:w="4165"/>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805"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人员类别</w:t>
            </w:r>
          </w:p>
        </w:tc>
        <w:tc>
          <w:tcPr>
            <w:tcW w:w="1096"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类别</w:t>
            </w:r>
          </w:p>
        </w:tc>
        <w:tc>
          <w:tcPr>
            <w:tcW w:w="1431"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起付线（元）</w:t>
            </w:r>
          </w:p>
        </w:tc>
        <w:tc>
          <w:tcPr>
            <w:tcW w:w="4165"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报销比例</w:t>
            </w:r>
          </w:p>
        </w:tc>
        <w:tc>
          <w:tcPr>
            <w:tcW w:w="1941"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年度支</w:t>
            </w:r>
            <w:r>
              <w:rPr>
                <w:rFonts w:hint="eastAsia" w:ascii="Times New Roman" w:hAnsi="Times New Roman" w:eastAsia="宋体" w:cs="Times New Roman"/>
                <w:color w:val="auto"/>
                <w:kern w:val="2"/>
                <w:sz w:val="21"/>
                <w:szCs w:val="24"/>
                <w:lang w:val="en-US" w:eastAsia="zh-CN" w:bidi="ar-SA"/>
              </w:rPr>
              <w:t>付限额（元）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1805"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特困人员</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低保对象</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返贫致贫人口（居民）</w:t>
            </w:r>
          </w:p>
        </w:tc>
        <w:tc>
          <w:tcPr>
            <w:tcW w:w="1096"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大病保险</w:t>
            </w:r>
          </w:p>
        </w:tc>
        <w:tc>
          <w:tcPr>
            <w:tcW w:w="1431"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6500</w:t>
            </w:r>
          </w:p>
        </w:tc>
        <w:tc>
          <w:tcPr>
            <w:tcW w:w="4165" w:type="dxa"/>
            <w:tcBorders>
              <w:top w:val="single" w:color="auto" w:sz="4" w:space="0"/>
              <w:left w:val="single" w:color="auto" w:sz="4" w:space="0"/>
              <w:bottom w:val="single" w:color="auto" w:sz="4" w:space="0"/>
              <w:right w:val="single" w:color="auto" w:sz="4" w:space="0"/>
            </w:tcBorders>
            <w:vAlign w:val="top"/>
          </w:tcPr>
          <w:p>
            <w:pPr>
              <w:pStyle w:val="9"/>
              <w:widowControl w:val="0"/>
              <w:numPr>
                <w:ilvl w:val="0"/>
                <w:numId w:val="0"/>
              </w:num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（1）个人负担的合规医疗费用</w:t>
            </w:r>
            <w:r>
              <w:rPr>
                <w:rFonts w:hint="default" w:ascii="Times New Roman" w:hAnsi="Times New Roman" w:eastAsia="宋体" w:cs="Times New Roman"/>
                <w:color w:val="auto"/>
                <w:kern w:val="2"/>
                <w:sz w:val="21"/>
                <w:szCs w:val="24"/>
                <w:lang w:eastAsia="zh-CN" w:bidi="ar-SA"/>
              </w:rPr>
              <w:t>6500</w:t>
            </w:r>
            <w:r>
              <w:rPr>
                <w:rFonts w:hint="eastAsia" w:ascii="Times New Roman" w:hAnsi="Times New Roman" w:eastAsia="宋体" w:cs="Times New Roman"/>
                <w:color w:val="auto"/>
                <w:kern w:val="2"/>
                <w:sz w:val="21"/>
                <w:szCs w:val="24"/>
                <w:lang w:val="en-US" w:eastAsia="zh-CN" w:bidi="ar-SA"/>
              </w:rPr>
              <w:t>至10万元以下的按65%补偿；</w:t>
            </w:r>
          </w:p>
          <w:p>
            <w:pPr>
              <w:pStyle w:val="9"/>
              <w:widowControl w:val="0"/>
              <w:numPr>
                <w:ilvl w:val="0"/>
                <w:numId w:val="0"/>
              </w:num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（2）10万至</w:t>
            </w:r>
            <w:r>
              <w:rPr>
                <w:rFonts w:hint="default" w:ascii="Times New Roman" w:hAnsi="Times New Roman" w:eastAsia="宋体" w:cs="Times New Roman"/>
                <w:color w:val="auto"/>
                <w:kern w:val="2"/>
                <w:sz w:val="21"/>
                <w:szCs w:val="24"/>
                <w:lang w:eastAsia="zh-CN" w:bidi="ar-SA"/>
              </w:rPr>
              <w:t>20</w:t>
            </w:r>
            <w:r>
              <w:rPr>
                <w:rFonts w:hint="eastAsia" w:ascii="Times New Roman" w:hAnsi="Times New Roman" w:eastAsia="宋体" w:cs="Times New Roman"/>
                <w:color w:val="auto"/>
                <w:kern w:val="2"/>
                <w:sz w:val="21"/>
                <w:szCs w:val="24"/>
                <w:lang w:val="en-US" w:eastAsia="zh-CN" w:bidi="ar-SA"/>
              </w:rPr>
              <w:t>万以下的按7</w:t>
            </w:r>
            <w:r>
              <w:rPr>
                <w:rFonts w:hint="default" w:ascii="Times New Roman" w:hAnsi="Times New Roman" w:eastAsia="宋体" w:cs="Times New Roman"/>
                <w:color w:val="auto"/>
                <w:kern w:val="2"/>
                <w:sz w:val="21"/>
                <w:szCs w:val="24"/>
                <w:lang w:eastAsia="zh-CN" w:bidi="ar-SA"/>
              </w:rPr>
              <w:t>0</w:t>
            </w:r>
            <w:r>
              <w:rPr>
                <w:rFonts w:hint="eastAsia" w:ascii="Times New Roman" w:hAnsi="Times New Roman" w:eastAsia="宋体" w:cs="Times New Roman"/>
                <w:color w:val="auto"/>
                <w:kern w:val="2"/>
                <w:sz w:val="21"/>
                <w:szCs w:val="24"/>
                <w:lang w:val="en-US" w:eastAsia="zh-CN" w:bidi="ar-SA"/>
              </w:rPr>
              <w:t>%补偿；</w:t>
            </w:r>
          </w:p>
          <w:p>
            <w:pPr>
              <w:pStyle w:val="9"/>
              <w:widowControl w:val="0"/>
              <w:numPr>
                <w:ilvl w:val="0"/>
                <w:numId w:val="0"/>
              </w:num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w:t>
            </w:r>
            <w:r>
              <w:rPr>
                <w:rFonts w:hint="default" w:ascii="Times New Roman" w:hAnsi="Times New Roman" w:eastAsia="宋体" w:cs="Times New Roman"/>
                <w:color w:val="auto"/>
                <w:kern w:val="2"/>
                <w:sz w:val="21"/>
                <w:szCs w:val="24"/>
                <w:lang w:eastAsia="zh-CN" w:bidi="ar-SA"/>
              </w:rPr>
              <w:t>20</w:t>
            </w:r>
            <w:r>
              <w:rPr>
                <w:rFonts w:hint="eastAsia" w:ascii="Times New Roman" w:hAnsi="Times New Roman" w:eastAsia="宋体" w:cs="Times New Roman"/>
                <w:color w:val="auto"/>
                <w:kern w:val="2"/>
                <w:sz w:val="21"/>
                <w:szCs w:val="24"/>
                <w:lang w:eastAsia="zh-CN" w:bidi="ar-SA"/>
              </w:rPr>
              <w:t>万至</w:t>
            </w:r>
            <w:r>
              <w:rPr>
                <w:rFonts w:hint="eastAsia" w:ascii="Times New Roman" w:hAnsi="Times New Roman" w:eastAsia="宋体" w:cs="Times New Roman"/>
                <w:color w:val="auto"/>
                <w:kern w:val="2"/>
                <w:sz w:val="21"/>
                <w:szCs w:val="24"/>
                <w:lang w:val="en-US" w:eastAsia="zh-CN" w:bidi="ar-SA"/>
              </w:rPr>
              <w:t>30万以下按75%补偿；</w:t>
            </w:r>
          </w:p>
          <w:p>
            <w:pPr>
              <w:pStyle w:val="9"/>
              <w:widowControl w:val="0"/>
              <w:numPr>
                <w:ilvl w:val="0"/>
                <w:numId w:val="0"/>
              </w:num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（4）30万以上按80%补偿；</w:t>
            </w:r>
          </w:p>
        </w:tc>
        <w:tc>
          <w:tcPr>
            <w:tcW w:w="1941"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不设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805"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color w:val="auto"/>
              </w:rPr>
            </w:pPr>
            <w:r>
              <w:rPr>
                <w:rFonts w:hint="eastAsia" w:ascii="Times New Roman" w:hAnsi="Times New Roman" w:eastAsia="宋体" w:cs="Times New Roman"/>
                <w:color w:val="auto"/>
                <w:kern w:val="2"/>
                <w:sz w:val="21"/>
                <w:szCs w:val="24"/>
                <w:lang w:val="en-US" w:eastAsia="zh-CN" w:bidi="ar-SA"/>
              </w:rPr>
              <w:t>特困人员</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低保对象</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返贫致贫人口（职工</w:t>
            </w:r>
            <w:r>
              <w:rPr>
                <w:rFonts w:hint="eastAsia" w:cs="Times New Roman"/>
                <w:color w:val="auto"/>
                <w:kern w:val="2"/>
                <w:sz w:val="21"/>
                <w:szCs w:val="24"/>
                <w:lang w:val="en-US" w:eastAsia="zh-CN" w:bidi="ar-SA"/>
              </w:rPr>
              <w:t>、居民</w:t>
            </w:r>
            <w:r>
              <w:rPr>
                <w:rFonts w:hint="eastAsia" w:ascii="Times New Roman" w:hAnsi="Times New Roman" w:eastAsia="宋体" w:cs="Times New Roman"/>
                <w:color w:val="auto"/>
                <w:kern w:val="2"/>
                <w:sz w:val="21"/>
                <w:szCs w:val="24"/>
                <w:lang w:val="en-US" w:eastAsia="zh-CN" w:bidi="ar-SA"/>
              </w:rPr>
              <w:t>）</w:t>
            </w:r>
          </w:p>
        </w:tc>
        <w:tc>
          <w:tcPr>
            <w:tcW w:w="1096"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大病保险特殊药品</w:t>
            </w:r>
          </w:p>
        </w:tc>
        <w:tc>
          <w:tcPr>
            <w:tcW w:w="1431"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w:t>
            </w:r>
          </w:p>
        </w:tc>
        <w:tc>
          <w:tcPr>
            <w:tcW w:w="4165"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个人负担的合规医疗费用按80%补偿</w:t>
            </w:r>
          </w:p>
        </w:tc>
        <w:tc>
          <w:tcPr>
            <w:tcW w:w="1941"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40万</w:t>
            </w:r>
          </w:p>
        </w:tc>
      </w:tr>
    </w:tbl>
    <w:p>
      <w:pPr>
        <w:jc w:val="center"/>
        <w:rPr>
          <w:rFonts w:hint="eastAsia" w:ascii="黑体" w:hAnsi="黑体" w:eastAsia="黑体" w:cs="黑体"/>
          <w:color w:val="auto"/>
          <w:sz w:val="32"/>
          <w:szCs w:val="32"/>
        </w:rPr>
      </w:pPr>
    </w:p>
    <w:p>
      <w:pPr>
        <w:jc w:val="center"/>
        <w:rPr>
          <w:rFonts w:hint="eastAsia" w:ascii="黑体" w:hAnsi="黑体" w:eastAsia="黑体" w:cs="黑体"/>
          <w:color w:val="auto"/>
          <w:sz w:val="32"/>
          <w:szCs w:val="32"/>
        </w:rPr>
      </w:pPr>
      <w:r>
        <w:rPr>
          <w:rFonts w:hint="eastAsia" w:ascii="黑体" w:hAnsi="黑体" w:eastAsia="黑体" w:cs="黑体"/>
          <w:color w:val="auto"/>
          <w:sz w:val="32"/>
          <w:szCs w:val="32"/>
        </w:rPr>
        <w:t>表</w:t>
      </w:r>
      <w:r>
        <w:rPr>
          <w:rFonts w:hint="eastAsia" w:ascii="黑体" w:hAnsi="黑体" w:eastAsia="黑体" w:cs="黑体"/>
          <w:color w:val="auto"/>
          <w:sz w:val="32"/>
          <w:szCs w:val="32"/>
          <w:lang w:val="en-US" w:eastAsia="zh-CN"/>
        </w:rPr>
        <w:t>20</w:t>
      </w:r>
      <w:r>
        <w:rPr>
          <w:rFonts w:hint="eastAsia" w:ascii="黑体" w:hAnsi="黑体" w:eastAsia="黑体" w:cs="黑体"/>
          <w:color w:val="auto"/>
          <w:sz w:val="32"/>
          <w:szCs w:val="32"/>
        </w:rPr>
        <w:t>.医疗救助政策</w:t>
      </w:r>
    </w:p>
    <w:tbl>
      <w:tblPr>
        <w:tblStyle w:val="15"/>
        <w:tblW w:w="10440"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141"/>
        <w:gridCol w:w="1223"/>
        <w:gridCol w:w="1304"/>
        <w:gridCol w:w="1511"/>
        <w:gridCol w:w="967"/>
        <w:gridCol w:w="1064"/>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6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人员类别</w:t>
            </w:r>
          </w:p>
        </w:tc>
        <w:tc>
          <w:tcPr>
            <w:tcW w:w="11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参保补贴</w:t>
            </w:r>
          </w:p>
        </w:tc>
        <w:tc>
          <w:tcPr>
            <w:tcW w:w="4038"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医疗救助</w:t>
            </w:r>
          </w:p>
        </w:tc>
        <w:tc>
          <w:tcPr>
            <w:tcW w:w="369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再救助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56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p>
        </w:tc>
        <w:tc>
          <w:tcPr>
            <w:tcW w:w="114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起付线（元）</w:t>
            </w:r>
          </w:p>
        </w:tc>
        <w:tc>
          <w:tcPr>
            <w:tcW w:w="13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报销比例</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cs="Times New Roman"/>
                <w:color w:val="auto"/>
                <w:lang w:eastAsia="zh-CN"/>
              </w:rPr>
              <w:t>年度</w:t>
            </w:r>
            <w:r>
              <w:rPr>
                <w:rFonts w:hint="eastAsia" w:ascii="Times New Roman" w:hAnsi="Times New Roman" w:eastAsia="宋体" w:cs="Times New Roman"/>
                <w:color w:val="auto"/>
                <w:lang w:eastAsia="zh-CN"/>
              </w:rPr>
              <w:t>支付限额（元）</w:t>
            </w:r>
          </w:p>
        </w:tc>
        <w:tc>
          <w:tcPr>
            <w:tcW w:w="9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eastAsia="zh-CN"/>
              </w:rPr>
              <w:t>起付线（元）</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eastAsia="zh-CN"/>
              </w:rPr>
              <w:t>报销比例</w:t>
            </w:r>
          </w:p>
        </w:tc>
        <w:tc>
          <w:tcPr>
            <w:tcW w:w="166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eastAsia="zh-CN"/>
              </w:rPr>
              <w:t>年度</w:t>
            </w:r>
            <w:r>
              <w:rPr>
                <w:rFonts w:hint="eastAsia" w:ascii="Times New Roman" w:hAnsi="Times New Roman" w:eastAsia="宋体" w:cs="Times New Roman"/>
                <w:color w:val="auto"/>
                <w:lang w:eastAsia="zh-CN"/>
              </w:rPr>
              <w:t>支付限额（元）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5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低保对象</w:t>
            </w:r>
            <w:r>
              <w:rPr>
                <w:rFonts w:hint="eastAsia" w:cs="Times New Roman"/>
                <w:color w:val="auto"/>
                <w:lang w:eastAsia="zh-CN"/>
              </w:rPr>
              <w:t>、</w:t>
            </w:r>
            <w:r>
              <w:rPr>
                <w:rFonts w:hint="eastAsia" w:ascii="Times New Roman" w:hAnsi="Times New Roman" w:eastAsia="宋体" w:cs="Times New Roman"/>
                <w:color w:val="auto"/>
                <w:lang w:eastAsia="zh-CN"/>
              </w:rPr>
              <w:t>特困人员</w:t>
            </w:r>
            <w:r>
              <w:rPr>
                <w:rFonts w:hint="eastAsia" w:cs="Times New Roman"/>
                <w:color w:val="auto"/>
                <w:lang w:eastAsia="zh-CN"/>
              </w:rPr>
              <w:t>、</w:t>
            </w:r>
            <w:r>
              <w:rPr>
                <w:rFonts w:hint="eastAsia" w:ascii="Times New Roman" w:hAnsi="Times New Roman" w:eastAsia="宋体" w:cs="Times New Roman"/>
                <w:color w:val="auto"/>
                <w:lang w:eastAsia="zh-CN"/>
              </w:rPr>
              <w:t>返贫致贫人口</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全额资助</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130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宋体" w:hAnsi="宋体" w:cs="宋体"/>
                <w:color w:val="auto"/>
                <w:szCs w:val="21"/>
                <w:lang w:val="en-US" w:eastAsia="zh-CN"/>
              </w:rPr>
              <w:t>70%</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30000</w:t>
            </w:r>
          </w:p>
        </w:tc>
        <w:tc>
          <w:tcPr>
            <w:tcW w:w="9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5000</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宋体" w:hAnsi="宋体" w:cs="宋体"/>
                <w:color w:val="auto"/>
                <w:szCs w:val="21"/>
                <w:lang w:val="en-US" w:eastAsia="zh-CN"/>
              </w:rPr>
              <w:t>70%</w:t>
            </w:r>
          </w:p>
        </w:tc>
        <w:tc>
          <w:tcPr>
            <w:tcW w:w="166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color w:val="auto"/>
                <w:lang w:eastAsia="zh-CN"/>
              </w:rPr>
              <w:t>低保边缘家庭、防止返贫监测帮扶对象</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定额资助</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3000</w:t>
            </w:r>
          </w:p>
        </w:tc>
        <w:tc>
          <w:tcPr>
            <w:tcW w:w="130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宋体" w:hAnsi="宋体" w:cs="宋体"/>
                <w:color w:val="auto"/>
                <w:szCs w:val="21"/>
                <w:lang w:val="en-US" w:eastAsia="zh-CN"/>
              </w:rPr>
              <w:t>50%</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30000</w:t>
            </w:r>
          </w:p>
        </w:tc>
        <w:tc>
          <w:tcPr>
            <w:tcW w:w="9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10000</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宋体" w:hAnsi="宋体" w:cs="宋体"/>
                <w:color w:val="auto"/>
                <w:szCs w:val="21"/>
                <w:lang w:val="en-US" w:eastAsia="zh-CN"/>
              </w:rPr>
              <w:t>70%</w:t>
            </w:r>
          </w:p>
        </w:tc>
        <w:tc>
          <w:tcPr>
            <w:tcW w:w="166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440" w:type="dxa"/>
            <w:gridSpan w:val="8"/>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lang w:eastAsia="zh-CN"/>
              </w:rPr>
            </w:pPr>
            <w:r>
              <w:rPr>
                <w:rFonts w:hint="eastAsia" w:ascii="黑体" w:hAnsi="黑体" w:eastAsia="黑体" w:cs="黑体"/>
                <w:color w:val="auto"/>
                <w:sz w:val="32"/>
                <w:szCs w:val="32"/>
                <w:lang w:eastAsia="zh-CN"/>
              </w:rPr>
              <w:t>依申请救助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5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eastAsia="黑体" w:cs="黑体"/>
                <w:color w:val="auto"/>
                <w:sz w:val="32"/>
                <w:szCs w:val="32"/>
              </w:rPr>
            </w:pPr>
            <w:r>
              <w:rPr>
                <w:rFonts w:hint="eastAsia" w:ascii="宋体" w:hAnsi="宋体" w:cs="宋体"/>
                <w:color w:val="auto"/>
                <w:szCs w:val="21"/>
                <w:lang w:eastAsia="zh-CN"/>
              </w:rPr>
              <w:t>因病致贫重病患者</w:t>
            </w:r>
          </w:p>
        </w:tc>
        <w:tc>
          <w:tcPr>
            <w:tcW w:w="1141" w:type="dxa"/>
            <w:tcBorders>
              <w:top w:val="single" w:color="auto" w:sz="4" w:space="0"/>
              <w:left w:val="single" w:color="auto" w:sz="4" w:space="0"/>
              <w:right w:val="single" w:color="auto" w:sz="4" w:space="0"/>
            </w:tcBorders>
            <w:vAlign w:val="center"/>
          </w:tcPr>
          <w:p>
            <w:pPr>
              <w:jc w:val="center"/>
              <w:rPr>
                <w:rFonts w:hint="eastAsia" w:eastAsia="宋体"/>
                <w:color w:val="auto"/>
                <w:lang w:eastAsia="zh-CN"/>
              </w:rPr>
            </w:pPr>
            <w:r>
              <w:rPr>
                <w:rFonts w:hint="eastAsia"/>
                <w:color w:val="auto"/>
                <w:lang w:eastAsia="zh-CN"/>
              </w:rPr>
              <w:t>医保帮扶对象以外参保人</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eastAsia="黑体" w:cs="黑体"/>
                <w:color w:val="auto"/>
                <w:sz w:val="32"/>
                <w:szCs w:val="32"/>
              </w:rPr>
            </w:pPr>
            <w:r>
              <w:rPr>
                <w:rFonts w:hint="eastAsia" w:ascii="宋体" w:hAnsi="宋体" w:cs="宋体"/>
                <w:color w:val="auto"/>
                <w:szCs w:val="21"/>
              </w:rPr>
              <w:t>本市上年度居民人均可支配收入</w:t>
            </w:r>
            <w:r>
              <w:rPr>
                <w:rFonts w:hint="eastAsia" w:ascii="宋体" w:hAnsi="宋体" w:cs="宋体"/>
                <w:color w:val="auto"/>
                <w:szCs w:val="21"/>
                <w:lang w:eastAsia="zh-CN"/>
              </w:rPr>
              <w:t>的</w:t>
            </w:r>
            <w:r>
              <w:rPr>
                <w:rFonts w:hint="eastAsia" w:ascii="宋体" w:hAnsi="宋体" w:cs="宋体"/>
                <w:color w:val="auto"/>
                <w:szCs w:val="21"/>
              </w:rPr>
              <w:t>25%</w:t>
            </w:r>
          </w:p>
        </w:tc>
        <w:tc>
          <w:tcPr>
            <w:tcW w:w="1304" w:type="dxa"/>
            <w:tcBorders>
              <w:top w:val="single" w:color="auto" w:sz="4" w:space="0"/>
              <w:left w:val="single" w:color="auto" w:sz="4" w:space="0"/>
              <w:bottom w:val="single" w:color="auto" w:sz="4" w:space="0"/>
              <w:right w:val="single" w:color="auto" w:sz="4" w:space="0"/>
            </w:tcBorders>
            <w:vAlign w:val="center"/>
          </w:tcPr>
          <w:p>
            <w:pPr>
              <w:jc w:val="center"/>
              <w:rPr>
                <w:rFonts w:hint="default" w:ascii="黑体" w:hAnsi="黑体" w:eastAsia="黑体" w:cs="黑体"/>
                <w:color w:val="auto"/>
                <w:sz w:val="32"/>
                <w:szCs w:val="32"/>
                <w:lang w:val="en-US" w:eastAsia="zh-CN"/>
              </w:rPr>
            </w:pPr>
            <w:r>
              <w:rPr>
                <w:rFonts w:hint="eastAsia" w:ascii="宋体" w:hAnsi="宋体" w:eastAsia="黑体" w:cs="宋体"/>
                <w:color w:val="auto"/>
                <w:szCs w:val="21"/>
                <w:lang w:val="en-US" w:eastAsia="zh-CN"/>
              </w:rPr>
              <w:t>60%</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黑体" w:hAnsi="黑体" w:eastAsia="黑体" w:cs="黑体"/>
                <w:color w:val="auto"/>
                <w:sz w:val="32"/>
                <w:szCs w:val="32"/>
                <w:lang w:val="en-US" w:eastAsia="zh-CN"/>
              </w:rPr>
            </w:pPr>
            <w:r>
              <w:rPr>
                <w:rFonts w:hint="eastAsia" w:ascii="Times New Roman" w:hAnsi="Times New Roman" w:eastAsia="宋体" w:cs="Times New Roman"/>
                <w:color w:val="auto"/>
                <w:lang w:val="en-US" w:eastAsia="zh-CN"/>
              </w:rPr>
              <w:t>30000</w:t>
            </w:r>
          </w:p>
        </w:tc>
        <w:tc>
          <w:tcPr>
            <w:tcW w:w="369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lang w:eastAsia="zh-CN"/>
              </w:rPr>
              <w:t>备注：</w:t>
            </w:r>
            <w:r>
              <w:rPr>
                <w:rFonts w:hint="eastAsia" w:ascii="宋体" w:hAnsi="宋体" w:cs="宋体"/>
                <w:color w:val="auto"/>
                <w:szCs w:val="21"/>
              </w:rPr>
              <w:t>个人负担费用可追溯至自申请之月前12个月</w:t>
            </w:r>
            <w:r>
              <w:rPr>
                <w:rFonts w:hint="eastAsia" w:ascii="宋体" w:hAnsi="宋体" w:cs="宋体"/>
                <w:color w:val="auto"/>
                <w:szCs w:val="21"/>
                <w:lang w:eastAsia="zh-CN"/>
              </w:rPr>
              <w:t>，</w:t>
            </w:r>
            <w:r>
              <w:rPr>
                <w:rFonts w:hint="eastAsia" w:ascii="宋体" w:hAnsi="宋体" w:cs="宋体"/>
                <w:color w:val="auto"/>
                <w:szCs w:val="21"/>
              </w:rPr>
              <w:t>一次身份认定享受一个医疗年度救助待遇和救助限额</w:t>
            </w:r>
            <w:r>
              <w:rPr>
                <w:rFonts w:hint="eastAsia" w:ascii="宋体" w:hAnsi="宋体" w:cs="宋体"/>
                <w:color w:val="auto"/>
                <w:szCs w:val="21"/>
                <w:lang w:eastAsia="zh-CN"/>
              </w:rPr>
              <w:t>，</w:t>
            </w:r>
            <w:r>
              <w:rPr>
                <w:rFonts w:hint="eastAsia" w:ascii="宋体" w:hAnsi="宋体" w:cs="宋体"/>
                <w:color w:val="auto"/>
                <w:szCs w:val="21"/>
              </w:rPr>
              <w:t>一个年度内不得重复申请</w:t>
            </w:r>
          </w:p>
        </w:tc>
      </w:tr>
    </w:tbl>
    <w:p>
      <w:pPr>
        <w:jc w:val="left"/>
        <w:rPr>
          <w:rFonts w:hint="eastAsia" w:ascii="等线" w:hAnsi="等线" w:eastAsia="等线" w:cs="等线"/>
          <w:color w:val="auto"/>
          <w:sz w:val="21"/>
          <w:szCs w:val="21"/>
        </w:rPr>
        <w:sectPr>
          <w:footerReference r:id="rId4" w:type="default"/>
          <w:pgSz w:w="11906" w:h="16838"/>
          <w:pgMar w:top="1417" w:right="1417" w:bottom="1417" w:left="1417" w:header="0" w:footer="0" w:gutter="0"/>
          <w:pgBorders>
            <w:top w:val="none" w:sz="0" w:space="0"/>
            <w:left w:val="none" w:sz="0" w:space="0"/>
            <w:bottom w:val="none" w:sz="0" w:space="0"/>
            <w:right w:val="none" w:sz="0" w:space="0"/>
          </w:pgBorders>
          <w:pgNumType w:fmt="decimal" w:start="1"/>
          <w:cols w:space="720" w:num="1"/>
        </w:sectPr>
      </w:pPr>
      <w:r>
        <w:rPr>
          <w:rFonts w:hint="eastAsia" w:ascii="等线" w:hAnsi="等线" w:eastAsia="等线" w:cs="等线"/>
          <w:color w:val="auto"/>
          <w:sz w:val="21"/>
          <w:szCs w:val="21"/>
          <w:lang w:eastAsia="zh-CN"/>
        </w:rPr>
        <w:t>说明：市外就医的要回参保地报销</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7" w:name="_Toc258"/>
      <w:bookmarkStart w:id="8" w:name="_Toc26438"/>
      <w:r>
        <w:rPr>
          <w:rFonts w:hint="eastAsia" w:asciiTheme="majorEastAsia" w:hAnsiTheme="majorEastAsia" w:eastAsiaTheme="majorEastAsia" w:cstheme="majorEastAsia"/>
          <w:sz w:val="44"/>
          <w:szCs w:val="44"/>
          <w:lang w:eastAsia="zh-CN"/>
        </w:rPr>
        <w:t>第二章</w:t>
      </w:r>
      <w:r>
        <w:rPr>
          <w:rFonts w:hint="eastAsia" w:asciiTheme="majorEastAsia" w:hAnsiTheme="majorEastAsia" w:eastAsiaTheme="majorEastAsia" w:cstheme="majorEastAsia"/>
          <w:sz w:val="44"/>
          <w:szCs w:val="44"/>
          <w:lang w:val="en-US" w:eastAsia="zh-CN"/>
        </w:rPr>
        <w:t xml:space="preserve"> </w:t>
      </w:r>
      <w:r>
        <w:rPr>
          <w:rFonts w:hint="eastAsia" w:asciiTheme="majorEastAsia" w:hAnsiTheme="majorEastAsia" w:eastAsiaTheme="majorEastAsia" w:cstheme="majorEastAsia"/>
          <w:sz w:val="44"/>
          <w:szCs w:val="44"/>
          <w:lang w:eastAsia="zh-CN"/>
        </w:rPr>
        <w:t>门诊慢特病</w:t>
      </w:r>
      <w:r>
        <w:rPr>
          <w:rFonts w:hint="eastAsia" w:asciiTheme="majorEastAsia" w:hAnsiTheme="majorEastAsia" w:eastAsiaTheme="majorEastAsia" w:cstheme="majorEastAsia"/>
          <w:sz w:val="44"/>
          <w:szCs w:val="44"/>
          <w:lang w:val="en-US" w:eastAsia="zh-CN"/>
        </w:rPr>
        <w:t>政策</w:t>
      </w:r>
      <w:bookmarkEnd w:id="7"/>
      <w:bookmarkEnd w:id="8"/>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Theme="minorEastAsia" w:hAnsiTheme="minorEastAsia" w:eastAsiaTheme="minorEastAsia" w:cstheme="minorEastAsia"/>
          <w:b/>
          <w:bCs/>
          <w:color w:val="000000"/>
          <w:spacing w:val="0"/>
          <w:kern w:val="0"/>
          <w:sz w:val="36"/>
          <w:szCs w:val="36"/>
          <w:lang w:val="en-US" w:eastAsia="zh-CN"/>
        </w:rPr>
      </w:pPr>
      <w:r>
        <w:rPr>
          <w:rFonts w:hint="eastAsia" w:asciiTheme="minorEastAsia" w:hAnsiTheme="minorEastAsia" w:eastAsiaTheme="minorEastAsia" w:cstheme="minorEastAsia"/>
          <w:b/>
          <w:bCs/>
          <w:color w:val="000000"/>
          <w:spacing w:val="0"/>
          <w:kern w:val="0"/>
          <w:sz w:val="36"/>
          <w:szCs w:val="36"/>
          <w:lang w:val="en-US" w:eastAsia="zh-CN"/>
        </w:rPr>
        <w:t>一、滨州市门诊慢特病病种认定注意事项及认定标准</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bCs/>
          <w:color w:val="000000"/>
          <w:spacing w:val="0"/>
          <w:kern w:val="0"/>
          <w:sz w:val="28"/>
          <w:szCs w:val="28"/>
          <w:lang w:val="en-US" w:eastAsia="zh-CN"/>
        </w:rPr>
      </w:pPr>
      <w:r>
        <w:rPr>
          <w:rFonts w:hint="eastAsia" w:asciiTheme="minorEastAsia" w:hAnsiTheme="minorEastAsia" w:eastAsiaTheme="minorEastAsia" w:cstheme="minorEastAsia"/>
          <w:b/>
          <w:bCs/>
          <w:color w:val="000000"/>
          <w:spacing w:val="0"/>
          <w:kern w:val="0"/>
          <w:sz w:val="28"/>
          <w:szCs w:val="28"/>
          <w:lang w:val="en-US" w:eastAsia="zh-CN"/>
        </w:rPr>
        <w:t>（一）申请地点</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门诊一楼大厅东侧医保服务站（东院区）</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门诊一站式服务中心7号窗口（西院区）</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bCs/>
          <w:color w:val="000000"/>
          <w:spacing w:val="0"/>
          <w:kern w:val="0"/>
          <w:sz w:val="28"/>
          <w:szCs w:val="28"/>
          <w:lang w:val="en-US" w:eastAsia="zh-CN"/>
        </w:rPr>
      </w:pPr>
      <w:r>
        <w:rPr>
          <w:rFonts w:hint="eastAsia" w:asciiTheme="minorEastAsia" w:hAnsiTheme="minorEastAsia" w:eastAsiaTheme="minorEastAsia" w:cstheme="minorEastAsia"/>
          <w:b/>
          <w:bCs/>
          <w:color w:val="000000"/>
          <w:spacing w:val="0"/>
          <w:kern w:val="0"/>
          <w:sz w:val="28"/>
          <w:szCs w:val="28"/>
          <w:lang w:val="en-US" w:eastAsia="zh-CN"/>
        </w:rPr>
        <w:t>（二）</w:t>
      </w:r>
      <w:bookmarkStart w:id="9" w:name="_Toc5744"/>
      <w:r>
        <w:rPr>
          <w:rFonts w:hint="eastAsia" w:asciiTheme="minorEastAsia" w:hAnsiTheme="minorEastAsia" w:eastAsiaTheme="minorEastAsia" w:cstheme="minorEastAsia"/>
          <w:b/>
          <w:bCs/>
          <w:color w:val="000000"/>
          <w:spacing w:val="0"/>
          <w:kern w:val="0"/>
          <w:sz w:val="28"/>
          <w:szCs w:val="28"/>
          <w:lang w:val="en-US" w:eastAsia="zh-CN"/>
        </w:rPr>
        <w:t>注意事项</w:t>
      </w:r>
      <w:bookmarkEnd w:id="9"/>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（1）严格按照滨州市《门诊慢性病病种待遇确认标准》筛选符合条件的患者，并协助指导患者逐一备齐所需材料（请勿提交整套病历复印件）。</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（2）申报慢病名称一定要与《门诊慢性病病种待遇确认标准》中病种名称一致，不写诊断名称。申请表建议用打印版。</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 xml:space="preserve">（3）《滨州市参保人员门诊慢性病待遇申请表》一式两份。对不符合鉴定标准及材料缺项者不得开具《滨州市参保人员门诊慢性病待遇申请表》。 </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（4）原则上跨专业科室申请不予审批。主任签字一栏由科室负责人签字，严禁代签字。</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（5）原则上外院结果不予认定，可到滨州市政务服务中心医保审批大厅申请办理。</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（6）提供佐证的住院材料至少为两年以内，两年之前的要求提供近期检查结果。</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（7）非滨州市参保患者回参保地办理。</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（8）居民最多申请两种病种，职工最多可申请四种病种，居民已申请两病（高血压、糖尿病）者，需撤销后方可申请慢特病（医保服务站可协助办理）。</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（9）未申请过慢特病患者，医保缴费无异常可现场审核办理。已申请过慢特病，现拟增加病种者，留下申请材料通知各县区医保局协助办理。</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（10）对于符合鉴定标准的疾病病种，随时申报、及时审核、办结后可立即享受待遇（特殊情况除外）。</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（11）为方便门诊慢特病患者就医购药，滨州市不再实行门诊慢特病定点签约，门诊慢特病患者在全市任一门诊慢特病定点医药机构均可就医购药并享受报销待遇。</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 xml:space="preserve">（12）咨询慢病申请政策电话3282146、3285555。 </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bCs/>
          <w:color w:val="000000"/>
          <w:spacing w:val="0"/>
          <w:kern w:val="0"/>
          <w:sz w:val="28"/>
          <w:szCs w:val="28"/>
          <w:lang w:val="en-US" w:eastAsia="zh-CN"/>
        </w:rPr>
      </w:pPr>
      <w:r>
        <w:rPr>
          <w:rFonts w:hint="eastAsia" w:asciiTheme="minorEastAsia" w:hAnsiTheme="minorEastAsia" w:eastAsiaTheme="minorEastAsia" w:cstheme="minorEastAsia"/>
          <w:b/>
          <w:bCs/>
          <w:color w:val="000000"/>
          <w:spacing w:val="0"/>
          <w:kern w:val="0"/>
          <w:sz w:val="28"/>
          <w:szCs w:val="28"/>
          <w:lang w:val="en-US" w:eastAsia="zh-CN"/>
        </w:rPr>
        <w:t>（三）填写说明</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 xml:space="preserve">参保机构：填写参保地的“县区职工/县区居民”如：沾化职工/滨城区居民 </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定点医疗机构：填写“滨州市人民医院”</w:t>
      </w:r>
      <w:bookmarkStart w:id="10" w:name="_Toc31061"/>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bCs/>
          <w:color w:val="000000"/>
          <w:spacing w:val="0"/>
          <w:kern w:val="0"/>
          <w:sz w:val="28"/>
          <w:szCs w:val="28"/>
          <w:lang w:val="en-US" w:eastAsia="zh-CN"/>
        </w:rPr>
      </w:pPr>
      <w:r>
        <w:rPr>
          <w:rFonts w:hint="eastAsia" w:asciiTheme="minorEastAsia" w:hAnsiTheme="minorEastAsia" w:eastAsiaTheme="minorEastAsia" w:cstheme="minorEastAsia"/>
          <w:b/>
          <w:bCs/>
          <w:color w:val="000000"/>
          <w:spacing w:val="0"/>
          <w:kern w:val="0"/>
          <w:sz w:val="28"/>
          <w:szCs w:val="28"/>
          <w:lang w:val="en-US" w:eastAsia="zh-CN"/>
        </w:rPr>
        <w:t>（四）门诊慢特病的病种及认定标准</w:t>
      </w:r>
      <w:bookmarkEnd w:id="10"/>
      <w:r>
        <w:rPr>
          <w:rFonts w:hint="eastAsia" w:asciiTheme="minorEastAsia" w:hAnsiTheme="minorEastAsia" w:eastAsiaTheme="minorEastAsia" w:cstheme="minorEastAsia"/>
          <w:b/>
          <w:bCs/>
          <w:color w:val="000000"/>
          <w:spacing w:val="0"/>
          <w:kern w:val="0"/>
          <w:sz w:val="28"/>
          <w:szCs w:val="28"/>
          <w:lang w:val="en-US" w:eastAsia="zh-CN"/>
        </w:rPr>
        <w:t xml:space="preserve"> </w:t>
      </w:r>
    </w:p>
    <w:p>
      <w:pPr>
        <w:pStyle w:val="25"/>
        <w:widowControl w:val="0"/>
        <w:shd w:val="clear" w:color="auto" w:fill="auto"/>
        <w:spacing w:before="0" w:after="0" w:line="561" w:lineRule="exact"/>
        <w:ind w:left="0" w:right="0" w:firstLine="0"/>
        <w:jc w:val="center"/>
        <w:rPr>
          <w:rFonts w:hint="eastAsia"/>
          <w:color w:val="FF0000"/>
          <w:spacing w:val="0"/>
          <w:w w:val="100"/>
          <w:position w:val="0"/>
          <w:sz w:val="52"/>
          <w:szCs w:val="52"/>
          <w:lang w:val="en-US" w:eastAsia="zh-CN"/>
        </w:rPr>
      </w:pPr>
    </w:p>
    <w:p>
      <w:pPr>
        <w:pStyle w:val="25"/>
        <w:widowControl w:val="0"/>
        <w:shd w:val="clear" w:color="auto" w:fill="auto"/>
        <w:spacing w:before="0" w:after="0" w:line="561" w:lineRule="exact"/>
        <w:ind w:left="0" w:right="0" w:firstLine="0"/>
        <w:jc w:val="center"/>
        <w:rPr>
          <w:rFonts w:hint="eastAsia"/>
          <w:color w:val="FF0000"/>
          <w:spacing w:val="0"/>
          <w:w w:val="100"/>
          <w:position w:val="0"/>
          <w:sz w:val="52"/>
          <w:szCs w:val="52"/>
          <w:lang w:val="en-US" w:eastAsia="zh-CN"/>
        </w:rPr>
      </w:pPr>
      <w:r>
        <w:rPr>
          <w:rFonts w:hint="eastAsia"/>
          <w:color w:val="FF0000"/>
          <w:spacing w:val="0"/>
          <w:w w:val="100"/>
          <w:position w:val="0"/>
          <w:sz w:val="52"/>
          <w:szCs w:val="52"/>
          <w:lang w:val="en-US" w:eastAsia="zh-CN"/>
        </w:rPr>
        <w:t>滨州市医疗保障局</w:t>
      </w:r>
    </w:p>
    <w:p>
      <w:pPr>
        <w:pStyle w:val="25"/>
        <w:widowControl w:val="0"/>
        <w:shd w:val="clear" w:color="auto" w:fill="auto"/>
        <w:spacing w:before="0" w:after="0" w:line="561" w:lineRule="exact"/>
        <w:ind w:left="0" w:right="0" w:firstLine="0"/>
        <w:jc w:val="center"/>
        <w:rPr>
          <w:rFonts w:hint="eastAsia"/>
          <w:color w:val="FF0000"/>
          <w:spacing w:val="0"/>
          <w:w w:val="100"/>
          <w:position w:val="0"/>
          <w:sz w:val="52"/>
          <w:szCs w:val="52"/>
          <w:lang w:val="en-US" w:eastAsia="zh-CN"/>
        </w:rPr>
      </w:pPr>
      <w:r>
        <w:rPr>
          <w:rFonts w:hint="eastAsia"/>
          <w:color w:val="FF0000"/>
          <w:spacing w:val="0"/>
          <w:w w:val="100"/>
          <w:position w:val="0"/>
          <w:sz w:val="52"/>
          <w:szCs w:val="52"/>
          <w:lang w:val="en-US" w:eastAsia="zh-CN"/>
        </w:rPr>
        <w:t>滨州市财政局    文件</w:t>
      </w:r>
    </w:p>
    <w:p>
      <w:pPr>
        <w:pStyle w:val="25"/>
        <w:widowControl w:val="0"/>
        <w:shd w:val="clear" w:color="auto" w:fill="auto"/>
        <w:spacing w:before="0" w:after="0" w:line="561" w:lineRule="exact"/>
        <w:ind w:left="0" w:right="0" w:firstLine="0"/>
        <w:jc w:val="center"/>
        <w:rPr>
          <w:rFonts w:hint="eastAsia"/>
          <w:color w:val="FF0000"/>
          <w:spacing w:val="0"/>
          <w:w w:val="100"/>
          <w:position w:val="0"/>
          <w:sz w:val="52"/>
          <w:szCs w:val="52"/>
          <w:lang w:val="en-US" w:eastAsia="zh-CN"/>
        </w:rPr>
      </w:pPr>
      <w:r>
        <w:rPr>
          <w:rFonts w:hint="eastAsia"/>
          <w:color w:val="FF0000"/>
          <w:spacing w:val="0"/>
          <w:w w:val="100"/>
          <w:position w:val="0"/>
          <w:sz w:val="52"/>
          <w:szCs w:val="52"/>
          <w:lang w:val="en-US" w:eastAsia="zh-CN"/>
        </w:rPr>
        <w:t>滨州市卫生健康委员会</w:t>
      </w:r>
    </w:p>
    <w:p>
      <w:pPr>
        <w:pStyle w:val="25"/>
        <w:widowControl w:val="0"/>
        <w:shd w:val="clear" w:color="auto" w:fill="auto"/>
        <w:spacing w:before="0" w:after="0" w:line="561" w:lineRule="exact"/>
        <w:ind w:left="0" w:right="0" w:firstLine="0"/>
        <w:jc w:val="center"/>
        <w:rPr>
          <w:rFonts w:hint="eastAsia"/>
          <w:color w:val="000000"/>
          <w:spacing w:val="0"/>
          <w:w w:val="100"/>
          <w:position w:val="0"/>
          <w:lang w:val="en-US" w:eastAsia="zh-CN"/>
        </w:rPr>
      </w:pPr>
    </w:p>
    <w:p>
      <w:pPr>
        <w:pStyle w:val="25"/>
        <w:widowControl w:val="0"/>
        <w:shd w:val="clear" w:color="auto" w:fill="auto"/>
        <w:spacing w:before="0" w:after="0" w:line="561" w:lineRule="exact"/>
        <w:ind w:left="0" w:right="0" w:firstLine="0"/>
        <w:jc w:val="center"/>
        <w:rPr>
          <w:rFonts w:hint="eastAsia"/>
          <w:color w:val="000000"/>
          <w:spacing w:val="0"/>
          <w:w w:val="100"/>
          <w:position w:val="0"/>
          <w:lang w:val="en-US" w:eastAsia="zh-CN"/>
        </w:rPr>
      </w:pPr>
      <w:r>
        <w:rPr>
          <w:rFonts w:hint="eastAsia"/>
          <w:color w:val="000000"/>
          <w:spacing w:val="0"/>
          <w:w w:val="100"/>
          <w:position w:val="0"/>
          <w:lang w:val="en-US" w:eastAsia="zh-CN"/>
        </w:rPr>
        <w:t>滨医保发</w:t>
      </w:r>
      <w:r>
        <w:rPr>
          <w:color w:val="000000"/>
          <w:spacing w:val="0"/>
          <w:w w:val="100"/>
          <w:position w:val="0"/>
        </w:rPr>
        <w:t>〔</w:t>
      </w:r>
      <w:r>
        <w:rPr>
          <w:rFonts w:hint="eastAsia"/>
          <w:color w:val="000000"/>
          <w:spacing w:val="0"/>
          <w:w w:val="100"/>
          <w:position w:val="0"/>
          <w:lang w:val="en-US" w:eastAsia="zh-CN"/>
        </w:rPr>
        <w:t>2023</w:t>
      </w:r>
      <w:r>
        <w:rPr>
          <w:color w:val="000000"/>
          <w:spacing w:val="0"/>
          <w:w w:val="100"/>
          <w:position w:val="0"/>
        </w:rPr>
        <w:t>〕</w:t>
      </w:r>
      <w:r>
        <w:rPr>
          <w:rFonts w:hint="eastAsia"/>
          <w:color w:val="000000"/>
          <w:spacing w:val="0"/>
          <w:w w:val="100"/>
          <w:position w:val="0"/>
          <w:lang w:val="en-US" w:eastAsia="zh-CN"/>
        </w:rPr>
        <w:t>5号</w:t>
      </w:r>
    </w:p>
    <w:p>
      <w:pPr>
        <w:pStyle w:val="25"/>
        <w:widowControl w:val="0"/>
        <w:shd w:val="clear" w:color="auto" w:fill="auto"/>
        <w:spacing w:before="0" w:after="0" w:line="561" w:lineRule="exact"/>
        <w:ind w:left="0" w:right="0" w:firstLine="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各县（市、区）医疗保障局、财政局、卫健委，各市属开发区相关部门，有关定点医疗机构：</w:t>
      </w:r>
    </w:p>
    <w:p>
      <w:pPr>
        <w:pStyle w:val="25"/>
        <w:widowControl w:val="0"/>
        <w:shd w:val="clear" w:color="auto" w:fill="auto"/>
        <w:spacing w:before="0" w:after="0" w:line="561" w:lineRule="exact"/>
        <w:ind w:left="0" w:right="0"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为深入贯彻落实国务院、省政府及市政府关于职工基本医疗保险门诊共济保障机制改革意见，根据省医保局《关于规范统一全省门诊慢特病基本病种提高慢特病医疗保障能力的通知》（鲁医保发〔 2022〕42号）文件要求，现就执行全省门诊慢特病基本病种，进一步提高慢特病医疗保障能力有关事项通知如下。</w:t>
      </w:r>
    </w:p>
    <w:p>
      <w:pPr>
        <w:pStyle w:val="25"/>
        <w:widowControl w:val="0"/>
        <w:shd w:val="clear" w:color="auto" w:fill="auto"/>
        <w:spacing w:before="0" w:after="0" w:line="561" w:lineRule="exact"/>
        <w:ind w:left="0" w:right="0"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lang w:val="en-US" w:eastAsia="en-US" w:bidi="en-US"/>
        </w:rPr>
        <w:t>—</w:t>
      </w:r>
      <w:r>
        <w:rPr>
          <w:rFonts w:hint="eastAsia" w:asciiTheme="minorEastAsia" w:hAnsiTheme="minorEastAsia" w:eastAsiaTheme="minorEastAsia" w:cstheme="minorEastAsia"/>
          <w:color w:val="000000"/>
          <w:spacing w:val="0"/>
          <w:w w:val="100"/>
          <w:position w:val="0"/>
          <w:sz w:val="28"/>
          <w:szCs w:val="28"/>
        </w:rPr>
        <w:t>、执行全省统一的门诊慢特病基本病种</w:t>
      </w:r>
    </w:p>
    <w:p>
      <w:pPr>
        <w:pStyle w:val="25"/>
        <w:widowControl w:val="0"/>
        <w:shd w:val="clear" w:color="auto" w:fill="auto"/>
        <w:spacing w:before="0" w:after="0" w:line="561" w:lineRule="exact"/>
        <w:ind w:left="0" w:right="0"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全市职工、居民门诊慢特病执行统一的《山东省基本医疗保险门诊慢特病基本病种目录及认定</w:t>
      </w:r>
      <w:r>
        <w:rPr>
          <w:rFonts w:hint="eastAsia" w:asciiTheme="minorEastAsia" w:hAnsiTheme="minorEastAsia" w:eastAsiaTheme="minorEastAsia" w:cstheme="minorEastAsia"/>
          <w:color w:val="000000"/>
          <w:spacing w:val="0"/>
          <w:w w:val="100"/>
          <w:position w:val="0"/>
          <w:sz w:val="28"/>
          <w:szCs w:val="28"/>
          <w:lang w:val="zh-CN" w:eastAsia="zh-CN" w:bidi="zh-CN"/>
        </w:rPr>
        <w:t>标准》</w:t>
      </w:r>
      <w:r>
        <w:rPr>
          <w:rFonts w:hint="eastAsia" w:asciiTheme="minorEastAsia" w:hAnsiTheme="minorEastAsia" w:eastAsiaTheme="minorEastAsia" w:cstheme="minorEastAsia"/>
          <w:color w:val="000000"/>
          <w:spacing w:val="0"/>
          <w:w w:val="100"/>
          <w:position w:val="0"/>
          <w:sz w:val="28"/>
          <w:szCs w:val="28"/>
        </w:rPr>
        <w:t>（见附件1,以下简称 《门诊慢特病基本病种</w:t>
      </w:r>
      <w:r>
        <w:rPr>
          <w:rFonts w:hint="eastAsia" w:asciiTheme="minorEastAsia" w:hAnsiTheme="minorEastAsia" w:eastAsiaTheme="minorEastAsia" w:cstheme="minorEastAsia"/>
          <w:color w:val="000000"/>
          <w:spacing w:val="0"/>
          <w:w w:val="100"/>
          <w:position w:val="0"/>
          <w:sz w:val="28"/>
          <w:szCs w:val="28"/>
          <w:lang w:val="zh-CN" w:eastAsia="zh-CN" w:bidi="zh-CN"/>
        </w:rPr>
        <w:t>目录》</w:t>
      </w:r>
      <w:r>
        <w:rPr>
          <w:rFonts w:hint="eastAsia" w:asciiTheme="minorEastAsia" w:hAnsiTheme="minorEastAsia" w:eastAsiaTheme="minorEastAsia" w:cstheme="minorEastAsia"/>
          <w:color w:val="000000"/>
          <w:spacing w:val="0"/>
          <w:w w:val="100"/>
          <w:position w:val="0"/>
          <w:sz w:val="28"/>
          <w:szCs w:val="28"/>
        </w:rPr>
        <w:t>）。《门诊慢特病基本病种目录》实行动态管理，统一由省医保局适时组织专家论证调整。同时，对部分门诊治疗费用相对较高、治疗用药单一、诊疗路径明确的病种纳入药品单独支付管理（见附件2,以下简称《单独支付病种 目录》），单独支付药品原则上限国家谈判药品（含谈判协议期满后药品）。</w:t>
      </w:r>
    </w:p>
    <w:p>
      <w:pPr>
        <w:pStyle w:val="25"/>
        <w:widowControl w:val="0"/>
        <w:shd w:val="clear" w:color="auto" w:fill="auto"/>
        <w:spacing w:before="0" w:after="0" w:line="558" w:lineRule="exact"/>
        <w:ind w:left="0" w:right="0" w:firstLine="66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二</w:t>
      </w:r>
      <w:r>
        <w:rPr>
          <w:rFonts w:hint="eastAsia" w:asciiTheme="minorEastAsia" w:hAnsiTheme="minorEastAsia" w:eastAsiaTheme="minorEastAsia" w:cstheme="minorEastAsia"/>
          <w:color w:val="000000"/>
          <w:spacing w:val="0"/>
          <w:w w:val="100"/>
          <w:position w:val="0"/>
          <w:sz w:val="28"/>
          <w:szCs w:val="28"/>
          <w:lang w:eastAsia="zh-CN"/>
        </w:rPr>
        <w:t>、</w:t>
      </w:r>
      <w:r>
        <w:rPr>
          <w:rFonts w:hint="eastAsia" w:asciiTheme="minorEastAsia" w:hAnsiTheme="minorEastAsia" w:eastAsiaTheme="minorEastAsia" w:cstheme="minorEastAsia"/>
          <w:color w:val="000000"/>
          <w:spacing w:val="0"/>
          <w:w w:val="100"/>
          <w:position w:val="0"/>
          <w:sz w:val="28"/>
          <w:szCs w:val="28"/>
        </w:rPr>
        <w:t>做好与我市现行门诊慢特病病种的衔接</w:t>
      </w:r>
    </w:p>
    <w:p>
      <w:pPr>
        <w:pStyle w:val="25"/>
        <w:widowControl w:val="0"/>
        <w:shd w:val="clear" w:color="auto" w:fill="auto"/>
        <w:spacing w:before="0" w:after="0" w:line="558" w:lineRule="exact"/>
        <w:ind w:left="0" w:right="0" w:firstLine="66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对照省局文件，我市现有门诊慢特病病种还未纳入的，相应增加，享受我市职工、居民门诊慢病待遇。我市现有病种未纳入省定慢特病病种目录的，2024年12月31日前，统一过渡到省定慢特病病种目录，对超出省规定病种目录的相关费用可通过普通门诊统筹制度等予以适当解决。</w:t>
      </w:r>
    </w:p>
    <w:p>
      <w:pPr>
        <w:pStyle w:val="25"/>
        <w:widowControl w:val="0"/>
        <w:shd w:val="clear" w:color="auto" w:fill="auto"/>
        <w:spacing w:before="0" w:after="0" w:line="558" w:lineRule="exact"/>
        <w:ind w:left="0" w:right="0" w:firstLine="660"/>
        <w:jc w:val="both"/>
        <w:rPr>
          <w:rFonts w:hint="eastAsia" w:asciiTheme="minorEastAsia" w:hAnsiTheme="minorEastAsia" w:eastAsiaTheme="minorEastAsia" w:cstheme="minorEastAsia"/>
          <w:sz w:val="28"/>
          <w:szCs w:val="28"/>
        </w:rPr>
      </w:pPr>
      <w:bookmarkStart w:id="11" w:name="bookmark3"/>
      <w:r>
        <w:rPr>
          <w:rFonts w:hint="eastAsia" w:asciiTheme="minorEastAsia" w:hAnsiTheme="minorEastAsia" w:eastAsiaTheme="minorEastAsia" w:cstheme="minorEastAsia"/>
          <w:color w:val="000000"/>
          <w:spacing w:val="0"/>
          <w:w w:val="100"/>
          <w:position w:val="0"/>
          <w:sz w:val="28"/>
          <w:szCs w:val="28"/>
        </w:rPr>
        <w:t>三</w:t>
      </w:r>
      <w:bookmarkEnd w:id="11"/>
      <w:r>
        <w:rPr>
          <w:rFonts w:hint="eastAsia" w:asciiTheme="minorEastAsia" w:hAnsiTheme="minorEastAsia" w:eastAsiaTheme="minorEastAsia" w:cstheme="minorEastAsia"/>
          <w:color w:val="000000"/>
          <w:spacing w:val="0"/>
          <w:w w:val="100"/>
          <w:position w:val="0"/>
          <w:sz w:val="28"/>
          <w:szCs w:val="28"/>
        </w:rPr>
        <w:t>、有关医保待遇问题</w:t>
      </w:r>
    </w:p>
    <w:p>
      <w:pPr>
        <w:pStyle w:val="25"/>
        <w:widowControl w:val="0"/>
        <w:shd w:val="clear" w:color="auto" w:fill="auto"/>
        <w:spacing w:before="0" w:after="200" w:line="558" w:lineRule="exact"/>
        <w:ind w:left="0" w:right="0" w:firstLine="66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门诊慢特病及门诊单独支付药品医疗费用经基本医保报销后医保政策范围内个人自付部分、起付标准以下和支付限额以上的费用，按规定纳入大病保险（含职工大额医疗补助）和医疗救助保障范围。门诊单独支付药品病种原则上要与门诊慢性病待遇基本保持一致。双通道单行支付的9种药品，并入慢性病管理。居民医保对于新增病种按乙类病实行限额管理，其中生长激素缺乏症及门诊药品单独支付病种年度限额为1万元。其他政策不变。</w:t>
      </w:r>
    </w:p>
    <w:p>
      <w:pPr>
        <w:pStyle w:val="25"/>
        <w:widowControl w:val="0"/>
        <w:shd w:val="clear" w:color="auto" w:fill="auto"/>
        <w:spacing w:before="0" w:after="100" w:line="240" w:lineRule="auto"/>
        <w:ind w:left="0" w:right="0" w:firstLine="660"/>
        <w:jc w:val="both"/>
        <w:rPr>
          <w:rFonts w:hint="eastAsia" w:asciiTheme="minorEastAsia" w:hAnsiTheme="minorEastAsia" w:eastAsiaTheme="minorEastAsia" w:cstheme="minorEastAsia"/>
          <w:sz w:val="28"/>
          <w:szCs w:val="28"/>
        </w:rPr>
      </w:pPr>
      <w:bookmarkStart w:id="12" w:name="bookmark4"/>
      <w:r>
        <w:rPr>
          <w:rFonts w:hint="eastAsia" w:asciiTheme="minorEastAsia" w:hAnsiTheme="minorEastAsia" w:eastAsiaTheme="minorEastAsia" w:cstheme="minorEastAsia"/>
          <w:color w:val="000000"/>
          <w:spacing w:val="0"/>
          <w:w w:val="100"/>
          <w:position w:val="0"/>
          <w:sz w:val="28"/>
          <w:szCs w:val="28"/>
        </w:rPr>
        <w:t>四</w:t>
      </w:r>
      <w:bookmarkEnd w:id="12"/>
      <w:r>
        <w:rPr>
          <w:rFonts w:hint="eastAsia" w:asciiTheme="minorEastAsia" w:hAnsiTheme="minorEastAsia" w:eastAsiaTheme="minorEastAsia" w:cstheme="minorEastAsia"/>
          <w:color w:val="000000"/>
          <w:spacing w:val="0"/>
          <w:w w:val="100"/>
          <w:position w:val="0"/>
          <w:sz w:val="28"/>
          <w:szCs w:val="28"/>
        </w:rPr>
        <w:t>、做好医保经办服务</w:t>
      </w:r>
    </w:p>
    <w:p>
      <w:pPr>
        <w:pStyle w:val="25"/>
        <w:widowControl w:val="0"/>
        <w:shd w:val="clear" w:color="auto" w:fill="auto"/>
        <w:spacing w:before="0" w:after="0" w:line="559" w:lineRule="exact"/>
        <w:ind w:left="0" w:right="0" w:firstLine="66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各县（市、区）在率先实现医保服务站点全覆盖的基础上，加强医疗保障经办力量，推动医疗保障经办服务标准化规范化，提高医保便民服务水平，努力打造“15分钟医保服务圈”，全面推进网上办、掌上办、自助办、帮代办等服务模式，慢特病病种认定原则上由符合条件的定点医疗机构</w:t>
      </w:r>
      <w:r>
        <w:rPr>
          <w:rFonts w:hint="eastAsia" w:asciiTheme="minorEastAsia" w:hAnsiTheme="minorEastAsia" w:eastAsiaTheme="minorEastAsia" w:cstheme="minorEastAsia"/>
          <w:color w:val="000000"/>
          <w:spacing w:val="0"/>
          <w:w w:val="100"/>
          <w:position w:val="0"/>
          <w:sz w:val="28"/>
          <w:szCs w:val="28"/>
          <w:lang w:val="zh-CN" w:eastAsia="zh-CN" w:bidi="zh-CN"/>
        </w:rPr>
        <w:t>“一</w:t>
      </w:r>
      <w:r>
        <w:rPr>
          <w:rFonts w:hint="eastAsia" w:asciiTheme="minorEastAsia" w:hAnsiTheme="minorEastAsia" w:eastAsiaTheme="minorEastAsia" w:cstheme="minorEastAsia"/>
          <w:color w:val="000000"/>
          <w:spacing w:val="0"/>
          <w:w w:val="100"/>
          <w:position w:val="0"/>
          <w:sz w:val="28"/>
          <w:szCs w:val="28"/>
        </w:rPr>
        <w:t>站式”办理，医保经办机构确认备案后按规定享受相应的医保待遇。对长期异地居住人员等无法在参保地医疗机构直接办理的，可通过平台等方式网上办理认定业务，提高异地居住人员办理业务便捷性。</w:t>
      </w:r>
    </w:p>
    <w:p>
      <w:pPr>
        <w:pStyle w:val="25"/>
        <w:widowControl w:val="0"/>
        <w:shd w:val="clear" w:color="auto" w:fill="auto"/>
        <w:spacing w:before="0" w:after="0" w:line="559" w:lineRule="exact"/>
        <w:ind w:left="0" w:right="0" w:firstLine="66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对纳入门诊慢特病及门诊单独支付药品的病种，在定点双通道药店通过处方流转购药的，要按照《关于进一步完善国家医保谈判药品</w:t>
      </w:r>
      <w:r>
        <w:rPr>
          <w:rFonts w:hint="eastAsia" w:asciiTheme="minorEastAsia" w:hAnsiTheme="minorEastAsia" w:eastAsiaTheme="minorEastAsia" w:cstheme="minorEastAsia"/>
          <w:color w:val="000000"/>
          <w:spacing w:val="0"/>
          <w:w w:val="100"/>
          <w:position w:val="0"/>
          <w:sz w:val="28"/>
          <w:szCs w:val="28"/>
          <w:lang w:val="zh-CN" w:eastAsia="zh-CN" w:bidi="zh-CN"/>
        </w:rPr>
        <w:t>“双通</w:t>
      </w:r>
      <w:r>
        <w:rPr>
          <w:rFonts w:hint="eastAsia" w:asciiTheme="minorEastAsia" w:hAnsiTheme="minorEastAsia" w:eastAsiaTheme="minorEastAsia" w:cstheme="minorEastAsia"/>
          <w:color w:val="000000"/>
          <w:spacing w:val="0"/>
          <w:w w:val="100"/>
          <w:position w:val="0"/>
          <w:sz w:val="28"/>
          <w:szCs w:val="28"/>
        </w:rPr>
        <w:t>道”供应保障机制的通知》（滨医保发〔2022〕 18号）等有关规定做好费用结算工作。按照省要求统一门诊慢特性病和药品单独支付病种编码，做好信息系统维护和测试工作, 将统一病种纳入省内联网结算范围。</w:t>
      </w:r>
    </w:p>
    <w:p>
      <w:pPr>
        <w:pStyle w:val="25"/>
        <w:widowControl w:val="0"/>
        <w:shd w:val="clear" w:color="auto" w:fill="auto"/>
        <w:spacing w:before="0" w:after="0" w:line="559" w:lineRule="exact"/>
        <w:ind w:left="0" w:right="0" w:firstLine="660"/>
        <w:jc w:val="both"/>
        <w:rPr>
          <w:rFonts w:hint="eastAsia" w:asciiTheme="minorEastAsia" w:hAnsiTheme="minorEastAsia" w:eastAsiaTheme="minorEastAsia" w:cstheme="minorEastAsia"/>
          <w:sz w:val="28"/>
          <w:szCs w:val="28"/>
        </w:rPr>
      </w:pPr>
      <w:bookmarkStart w:id="13" w:name="bookmark5"/>
      <w:r>
        <w:rPr>
          <w:rFonts w:hint="eastAsia" w:asciiTheme="minorEastAsia" w:hAnsiTheme="minorEastAsia" w:eastAsiaTheme="minorEastAsia" w:cstheme="minorEastAsia"/>
          <w:color w:val="000000"/>
          <w:spacing w:val="0"/>
          <w:w w:val="100"/>
          <w:position w:val="0"/>
          <w:sz w:val="28"/>
          <w:szCs w:val="28"/>
        </w:rPr>
        <w:t>五</w:t>
      </w:r>
      <w:bookmarkEnd w:id="13"/>
      <w:r>
        <w:rPr>
          <w:rFonts w:hint="eastAsia" w:asciiTheme="minorEastAsia" w:hAnsiTheme="minorEastAsia" w:eastAsiaTheme="minorEastAsia" w:cstheme="minorEastAsia"/>
          <w:color w:val="000000"/>
          <w:spacing w:val="0"/>
          <w:w w:val="100"/>
          <w:position w:val="0"/>
          <w:sz w:val="28"/>
          <w:szCs w:val="28"/>
        </w:rPr>
        <w:t>、加强监督管理</w:t>
      </w:r>
    </w:p>
    <w:p>
      <w:pPr>
        <w:pStyle w:val="25"/>
        <w:widowControl w:val="0"/>
        <w:shd w:val="clear" w:color="auto" w:fill="auto"/>
        <w:spacing w:before="0" w:after="0" w:line="559" w:lineRule="exact"/>
        <w:ind w:left="0" w:right="0" w:firstLine="66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rPr>
        <w:t>各县（市、区）要强化定点医疗机构在慢特病认定、规范诊疗、合理使用医保基金等方面的责任，加强对慢特病病种认定、医疗服务行为的日常管理和监督检查，引导医疗机构优化内部管理，创新服务模式，提高门诊患者就医结算便捷度。加强对门诊慢特病医疗费用的审核，充分利用医保智能监控系统实现医疗费用初审全覆盖，并不断提高复审抽查比例。对利用门诊慢特病政策骗取医保基金的，一经查实，依法依规严肃处理，涉及犯罪的</w:t>
      </w:r>
      <w:r>
        <w:rPr>
          <w:rFonts w:hint="eastAsia" w:asciiTheme="minorEastAsia" w:hAnsiTheme="minorEastAsia" w:eastAsiaTheme="minorEastAsia" w:cstheme="minorEastAsia"/>
          <w:color w:val="000000"/>
          <w:spacing w:val="0"/>
          <w:w w:val="100"/>
          <w:position w:val="0"/>
          <w:sz w:val="28"/>
          <w:szCs w:val="28"/>
          <w:lang w:val="en-US" w:eastAsia="zh-CN"/>
        </w:rPr>
        <w:t>移交相关部门。</w:t>
      </w:r>
    </w:p>
    <w:p>
      <w:pPr>
        <w:pStyle w:val="25"/>
        <w:widowControl w:val="0"/>
        <w:shd w:val="clear" w:color="auto" w:fill="auto"/>
        <w:spacing w:before="0" w:after="0" w:line="560" w:lineRule="exact"/>
        <w:ind w:left="0" w:leftChars="0" w:right="0" w:firstLine="560" w:firstLineChars="200"/>
        <w:jc w:val="both"/>
        <w:rPr>
          <w:rFonts w:hint="eastAsia" w:asciiTheme="minorEastAsia" w:hAnsiTheme="minorEastAsia" w:eastAsiaTheme="minorEastAsia" w:cstheme="minorEastAsia"/>
          <w:color w:val="000000"/>
          <w:spacing w:val="0"/>
          <w:w w:val="100"/>
          <w:position w:val="0"/>
          <w:sz w:val="28"/>
          <w:szCs w:val="28"/>
        </w:rPr>
      </w:pPr>
      <w:r>
        <w:rPr>
          <w:rFonts w:hint="eastAsia" w:asciiTheme="minorEastAsia" w:hAnsiTheme="minorEastAsia" w:eastAsiaTheme="minorEastAsia" w:cstheme="minorEastAsia"/>
          <w:color w:val="000000"/>
          <w:spacing w:val="0"/>
          <w:w w:val="100"/>
          <w:position w:val="0"/>
          <w:sz w:val="28"/>
          <w:szCs w:val="28"/>
        </w:rPr>
        <w:t>统一规范门诊慢特病基本病种工作是贯彻落实党的二十大精神，坚持以人民为中心的发展思想，着力解决人民群众急难愁盼问题的重要举措，是基本医保门诊共济保障机制改革的重要内容。各县（市、区）要高度重视，细化落实措施，做好政策衔接过渡。要加大对政策解读力度，做好宣传解释，争取广大参保群众理解支持，营造改革良好氛围，推动工作顺利实施。</w:t>
      </w:r>
    </w:p>
    <w:p>
      <w:pPr>
        <w:pStyle w:val="25"/>
        <w:widowControl w:val="0"/>
        <w:shd w:val="clear" w:color="auto" w:fill="auto"/>
        <w:spacing w:before="0" w:after="0" w:line="560" w:lineRule="exact"/>
        <w:ind w:left="0" w:leftChars="0" w:right="0" w:firstLine="560" w:firstLineChars="200"/>
        <w:jc w:val="both"/>
        <w:rPr>
          <w:rFonts w:hint="eastAsia" w:asciiTheme="minorEastAsia" w:hAnsiTheme="minorEastAsia" w:eastAsiaTheme="minorEastAsia" w:cstheme="minorEastAsia"/>
          <w:color w:val="000000"/>
          <w:spacing w:val="0"/>
          <w:w w:val="100"/>
          <w:position w:val="0"/>
          <w:sz w:val="28"/>
          <w:szCs w:val="28"/>
        </w:rPr>
      </w:pPr>
      <w:r>
        <w:rPr>
          <w:rFonts w:hint="eastAsia" w:asciiTheme="minorEastAsia" w:hAnsiTheme="minorEastAsia" w:eastAsiaTheme="minorEastAsia" w:cstheme="minorEastAsia"/>
          <w:color w:val="000000"/>
          <w:spacing w:val="0"/>
          <w:w w:val="100"/>
          <w:position w:val="0"/>
          <w:sz w:val="28"/>
          <w:szCs w:val="28"/>
        </w:rPr>
        <w:t>本通知自2023年3月1日执行。</w:t>
      </w:r>
    </w:p>
    <w:p>
      <w:pPr>
        <w:pStyle w:val="25"/>
        <w:widowControl w:val="0"/>
        <w:shd w:val="clear" w:color="auto" w:fill="auto"/>
        <w:wordWrap/>
        <w:adjustRightInd/>
        <w:snapToGrid/>
        <w:spacing w:before="0" w:after="200" w:line="240" w:lineRule="auto"/>
        <w:ind w:left="0" w:leftChars="0" w:right="0" w:firstLine="0" w:firstLineChars="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p>
    <w:p>
      <w:pPr>
        <w:pStyle w:val="25"/>
        <w:widowControl w:val="0"/>
        <w:shd w:val="clear" w:color="auto" w:fill="auto"/>
        <w:wordWrap/>
        <w:adjustRightInd/>
        <w:snapToGrid/>
        <w:spacing w:before="0" w:after="200" w:line="240" w:lineRule="auto"/>
        <w:ind w:left="0" w:leftChars="0" w:right="0" w:firstLine="0" w:firstLineChars="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color w:val="000000"/>
          <w:spacing w:val="0"/>
          <w:w w:val="100"/>
          <w:position w:val="0"/>
          <w:sz w:val="28"/>
          <w:szCs w:val="28"/>
        </w:rPr>
        <w:t>附件:</w:t>
      </w:r>
      <w:r>
        <w:rPr>
          <w:rFonts w:hint="eastAsia" w:asciiTheme="minorEastAsia" w:hAnsiTheme="minorEastAsia" w:eastAsiaTheme="minorEastAsia" w:cstheme="minorEastAsia"/>
          <w:color w:val="000000"/>
          <w:spacing w:val="0"/>
          <w:w w:val="100"/>
          <w:position w:val="0"/>
          <w:sz w:val="28"/>
          <w:szCs w:val="28"/>
          <w:lang w:val="en-US" w:eastAsia="en-US" w:bidi="en-US"/>
        </w:rPr>
        <w:t>1.</w:t>
      </w:r>
      <w:r>
        <w:rPr>
          <w:rFonts w:hint="eastAsia" w:asciiTheme="minorEastAsia" w:hAnsiTheme="minorEastAsia" w:eastAsiaTheme="minorEastAsia" w:cstheme="minorEastAsia"/>
          <w:color w:val="000000"/>
          <w:spacing w:val="0"/>
          <w:w w:val="100"/>
          <w:position w:val="0"/>
          <w:sz w:val="28"/>
          <w:szCs w:val="28"/>
        </w:rPr>
        <w:t>滨州市基本医保门诊慢特病病种目录及认定标准</w:t>
      </w:r>
    </w:p>
    <w:p>
      <w:pPr>
        <w:pStyle w:val="25"/>
        <w:widowControl w:val="0"/>
        <w:numPr>
          <w:ilvl w:val="0"/>
          <w:numId w:val="0"/>
        </w:numPr>
        <w:shd w:val="clear" w:color="auto" w:fill="auto"/>
        <w:wordWrap/>
        <w:adjustRightInd/>
        <w:snapToGrid/>
        <w:spacing w:before="0" w:after="360" w:line="240" w:lineRule="auto"/>
        <w:ind w:right="0" w:firstLine="1400" w:firstLineChars="500"/>
        <w:jc w:val="both"/>
        <w:textAlignment w:val="auto"/>
        <w:rPr>
          <w:rFonts w:hint="eastAsia" w:asciiTheme="minorEastAsia" w:hAnsiTheme="minorEastAsia" w:eastAsiaTheme="minorEastAsia" w:cstheme="minorEastAsia"/>
          <w:color w:val="000000"/>
          <w:spacing w:val="0"/>
          <w:w w:val="100"/>
          <w:position w:val="0"/>
          <w:sz w:val="28"/>
          <w:szCs w:val="28"/>
        </w:rPr>
      </w:pPr>
      <w:r>
        <w:rPr>
          <w:rFonts w:hint="eastAsia" w:asciiTheme="minorEastAsia" w:hAnsiTheme="minorEastAsia" w:eastAsiaTheme="minorEastAsia" w:cstheme="minorEastAsia"/>
          <w:color w:val="000000"/>
          <w:spacing w:val="0"/>
          <w:w w:val="100"/>
          <w:position w:val="0"/>
          <w:sz w:val="28"/>
          <w:szCs w:val="28"/>
          <w:lang w:val="en-US" w:eastAsia="zh-CN"/>
        </w:rPr>
        <w:t>2.</w:t>
      </w:r>
      <w:r>
        <w:rPr>
          <w:rFonts w:hint="eastAsia" w:asciiTheme="minorEastAsia" w:hAnsiTheme="minorEastAsia" w:eastAsiaTheme="minorEastAsia" w:cstheme="minorEastAsia"/>
          <w:color w:val="000000"/>
          <w:spacing w:val="0"/>
          <w:w w:val="100"/>
          <w:position w:val="0"/>
          <w:sz w:val="28"/>
          <w:szCs w:val="28"/>
        </w:rPr>
        <w:t>滨州市基本医保门诊药品单独支付病种目录</w:t>
      </w:r>
    </w:p>
    <w:p>
      <w:pPr>
        <w:pStyle w:val="25"/>
        <w:widowControl w:val="0"/>
        <w:numPr>
          <w:ilvl w:val="0"/>
          <w:numId w:val="0"/>
        </w:numPr>
        <w:shd w:val="clear" w:color="auto" w:fill="auto"/>
        <w:wordWrap/>
        <w:adjustRightInd/>
        <w:snapToGrid/>
        <w:spacing w:before="0" w:after="360" w:line="240" w:lineRule="auto"/>
        <w:ind w:right="0"/>
        <w:jc w:val="both"/>
        <w:textAlignment w:val="auto"/>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kern w:val="2"/>
          <w:sz w:val="28"/>
          <w:szCs w:val="28"/>
          <w:u w:val="none"/>
          <w:shd w:val="clear" w:color="auto" w:fill="auto"/>
          <w:lang w:val="zh-TW" w:eastAsia="zh-TW" w:bidi="zh-TW"/>
        </w:rPr>
        <w:pict>
          <v:shape id="Shape 9" o:spid="_x0000_s1035" o:spt="75" type="#_x0000_t75" style="position:absolute;left:0pt;margin-left:375.95pt;margin-top:15.05pt;height:132.95pt;width:131.5pt;mso-position-horizontal-relative:page;z-index:-251657216;mso-width-relative:page;mso-height-relative:page;" fillcolor="#FFFFFF" filled="f" o:preferrelative="t" stroked="f" coordsize="21600,21600">
            <v:path/>
            <v:fill on="f" color2="#FFFFFF" focussize="0,0"/>
            <v:stroke on="f"/>
            <v:imagedata r:id="rId16" gain="65536f" blacklevel="0f" gamma="0" o:title=""/>
            <o:lock v:ext="edit" position="f" selection="f" grouping="f" rotation="f" cropping="f" text="f" aspectratio="t"/>
          </v:shape>
        </w:pict>
      </w:r>
      <w:r>
        <w:rPr>
          <w:rFonts w:hint="eastAsia" w:asciiTheme="minorEastAsia" w:hAnsiTheme="minorEastAsia" w:eastAsiaTheme="minorEastAsia" w:cstheme="minorEastAsia"/>
          <w:kern w:val="2"/>
          <w:sz w:val="28"/>
          <w:szCs w:val="28"/>
          <w:u w:val="none"/>
          <w:shd w:val="clear" w:color="auto" w:fill="auto"/>
          <w:lang w:val="zh-TW" w:eastAsia="zh-TW" w:bidi="zh-TW"/>
        </w:rPr>
        <w:pict>
          <v:shape id="Shape 7" o:spid="_x0000_s1036" o:spt="75" type="#_x0000_t75" style="position:absolute;left:0pt;margin-left:226.3pt;margin-top:17.45pt;height:113.3pt;width:114.25pt;mso-position-horizontal-relative:page;z-index:-251656192;mso-width-relative:page;mso-height-relative:page;" fillcolor="#FFFFFF" filled="f" o:preferrelative="t" stroked="f" coordsize="21600,21600">
            <v:path/>
            <v:fill on="f" color2="#FFFFFF" focussize="0,0"/>
            <v:stroke on="f"/>
            <v:imagedata r:id="rId17" gain="65536f" blacklevel="0f" gamma="0" o:title=""/>
            <o:lock v:ext="edit" position="f" selection="f" grouping="f" rotation="f" cropping="f" text="f" aspectratio="t"/>
          </v:shape>
        </w:pict>
      </w:r>
      <w:r>
        <w:rPr>
          <w:rFonts w:hint="eastAsia" w:asciiTheme="minorEastAsia" w:hAnsiTheme="minorEastAsia" w:eastAsiaTheme="minorEastAsia" w:cstheme="minorEastAsia"/>
          <w:kern w:val="2"/>
          <w:sz w:val="28"/>
          <w:szCs w:val="28"/>
          <w:u w:val="none"/>
          <w:shd w:val="clear" w:color="auto" w:fill="auto"/>
          <w:lang w:val="zh-TW" w:eastAsia="zh-TW" w:bidi="zh-TW"/>
        </w:rPr>
        <w:pict>
          <v:shape id="Shape 5" o:spid="_x0000_s1037" o:spt="75" type="#_x0000_t75" style="position:absolute;left:0pt;margin-left:84.25pt;margin-top:18.25pt;height:115.2pt;width:114.25pt;mso-position-horizontal-relative:page;z-index:-251655168;mso-width-relative:page;mso-height-relative:page;" fillcolor="#FFFFFF" filled="f" o:preferrelative="t" stroked="f" coordsize="21600,21600">
            <v:path/>
            <v:fill on="f" color2="#FFFFFF" focussize="0,0"/>
            <v:stroke on="f"/>
            <v:imagedata r:id="rId18" gain="65536f" blacklevel="0f" gamma="0" o:title=""/>
            <o:lock v:ext="edit" position="f" selection="f" grouping="f" rotation="f" cropping="f" text="f" aspectratio="t"/>
          </v:shape>
        </w:pict>
      </w:r>
      <w:r>
        <w:rPr>
          <w:rFonts w:hint="eastAsia" w:asciiTheme="minorEastAsia" w:hAnsiTheme="minorEastAsia" w:eastAsiaTheme="minorEastAsia" w:cstheme="minorEastAsia"/>
          <w:color w:val="000000"/>
          <w:spacing w:val="0"/>
          <w:w w:val="100"/>
          <w:position w:val="0"/>
          <w:sz w:val="28"/>
          <w:szCs w:val="28"/>
          <w:lang w:val="en-US" w:eastAsia="zh-CN"/>
        </w:rPr>
        <w:t xml:space="preserve">        （此件依法申请公开）</w:t>
      </w:r>
    </w:p>
    <w:p>
      <w:pPr>
        <w:pStyle w:val="25"/>
        <w:widowControl w:val="0"/>
        <w:numPr>
          <w:ilvl w:val="0"/>
          <w:numId w:val="0"/>
        </w:numPr>
        <w:shd w:val="clear" w:color="auto" w:fill="auto"/>
        <w:wordWrap/>
        <w:adjustRightInd/>
        <w:snapToGrid/>
        <w:spacing w:before="0" w:after="360" w:line="240" w:lineRule="auto"/>
        <w:ind w:leftChars="400" w:right="0"/>
        <w:jc w:val="both"/>
        <w:textAlignment w:val="auto"/>
        <w:rPr>
          <w:color w:val="000000"/>
          <w:spacing w:val="0"/>
          <w:w w:val="100"/>
          <w:position w:val="0"/>
        </w:rPr>
      </w:pPr>
    </w:p>
    <w:p>
      <w:pPr>
        <w:ind w:firstLine="419" w:firstLineChars="0"/>
        <w:rPr>
          <w:rFonts w:hint="default"/>
          <w:lang w:val="en-US" w:eastAsia="zh-CN"/>
        </w:rPr>
      </w:pPr>
      <w:r>
        <w:rPr>
          <w:rFonts w:hint="eastAsia"/>
          <w:lang w:val="en-US" w:eastAsia="zh-CN"/>
        </w:rPr>
        <w:t xml:space="preserve">                                                                       </w:t>
      </w:r>
    </w:p>
    <w:p>
      <w:pPr>
        <w:tabs>
          <w:tab w:val="left" w:pos="974"/>
        </w:tabs>
        <w:jc w:val="left"/>
        <w:rPr>
          <w:rFonts w:hint="default"/>
          <w:lang w:val="en-US" w:eastAsia="zh-CN"/>
        </w:rPr>
        <w:sectPr>
          <w:footerReference r:id="rId6" w:type="first"/>
          <w:footerReference r:id="rId5" w:type="default"/>
          <w:footnotePr>
            <w:numFmt w:val="decimal"/>
          </w:footnotePr>
          <w:pgSz w:w="11900" w:h="16840"/>
          <w:pgMar w:top="1417" w:right="1417" w:bottom="1417" w:left="1417" w:header="0" w:footer="567" w:gutter="0"/>
          <w:pgNumType w:fmt="decimal"/>
          <w:cols w:space="720" w:num="1"/>
          <w:titlePg/>
          <w:rtlGutter w:val="0"/>
          <w:docGrid w:linePitch="360" w:charSpace="0"/>
        </w:sectPr>
      </w:pPr>
      <w:r>
        <w:rPr>
          <w:rFonts w:hint="eastAsia"/>
          <w:lang w:val="en-US" w:eastAsia="zh-CN"/>
        </w:rPr>
        <w:t xml:space="preserve">                                                        </w:t>
      </w:r>
    </w:p>
    <w:p>
      <w:pPr>
        <w:pStyle w:val="28"/>
        <w:keepNext/>
        <w:keepLines/>
        <w:pageBreakBefore w:val="0"/>
        <w:widowControl w:val="0"/>
        <w:shd w:val="clear" w:color="auto" w:fill="auto"/>
        <w:kinsoku/>
        <w:wordWrap/>
        <w:overflowPunct/>
        <w:topLinePunct w:val="0"/>
        <w:autoSpaceDE/>
        <w:autoSpaceDN/>
        <w:bidi w:val="0"/>
        <w:adjustRightInd/>
        <w:snapToGrid/>
        <w:spacing w:before="0" w:line="560" w:lineRule="exact"/>
        <w:ind w:left="0" w:right="0" w:firstLine="0"/>
        <w:jc w:val="left"/>
        <w:textAlignment w:val="auto"/>
        <w:outlineLvl w:val="9"/>
        <w:rPr>
          <w:rFonts w:hint="eastAsia" w:asciiTheme="minorEastAsia" w:hAnsiTheme="minorEastAsia" w:eastAsiaTheme="minorEastAsia" w:cstheme="minorEastAsia"/>
          <w:b/>
          <w:color w:val="000000"/>
          <w:kern w:val="0"/>
          <w:sz w:val="28"/>
          <w:szCs w:val="28"/>
          <w:u w:val="none"/>
          <w:shd w:val="clear" w:color="070000" w:fill="auto"/>
          <w:lang w:val="en-US" w:eastAsia="zh-CN"/>
        </w:rPr>
      </w:pPr>
      <w:bookmarkStart w:id="14" w:name="_Toc24062"/>
      <w:bookmarkStart w:id="15" w:name="_Toc14730"/>
      <w:bookmarkStart w:id="16" w:name="_Toc31696"/>
      <w:bookmarkStart w:id="17" w:name="_Toc15421"/>
      <w:bookmarkStart w:id="18" w:name="_Toc13619"/>
      <w:bookmarkStart w:id="19" w:name="_Toc31779"/>
      <w:bookmarkStart w:id="20" w:name="_Toc6221"/>
      <w:bookmarkStart w:id="21" w:name="_Toc21707"/>
      <w:bookmarkStart w:id="22" w:name="_Toc10395"/>
      <w:bookmarkStart w:id="23" w:name="bookmark8"/>
      <w:bookmarkStart w:id="24" w:name="bookmark7"/>
      <w:bookmarkStart w:id="25" w:name="bookmark6"/>
      <w:r>
        <w:rPr>
          <w:rFonts w:hint="eastAsia" w:asciiTheme="minorEastAsia" w:hAnsiTheme="minorEastAsia" w:eastAsiaTheme="minorEastAsia" w:cstheme="minorEastAsia"/>
          <w:b/>
          <w:color w:val="000000"/>
          <w:kern w:val="0"/>
          <w:sz w:val="28"/>
          <w:szCs w:val="28"/>
          <w:u w:val="none"/>
          <w:shd w:val="clear" w:color="070000" w:fill="auto"/>
          <w:lang w:val="en-US" w:eastAsia="zh-CN"/>
        </w:rPr>
        <w:t>附件1：</w:t>
      </w:r>
      <w:bookmarkEnd w:id="14"/>
      <w:bookmarkEnd w:id="15"/>
    </w:p>
    <w:p>
      <w:pPr>
        <w:pStyle w:val="28"/>
        <w:keepNext/>
        <w:keepLines/>
        <w:pageBreakBefore w:val="0"/>
        <w:widowControl w:val="0"/>
        <w:shd w:val="clear" w:color="auto" w:fill="auto"/>
        <w:kinsoku/>
        <w:wordWrap/>
        <w:overflowPunct/>
        <w:topLinePunct w:val="0"/>
        <w:autoSpaceDE/>
        <w:autoSpaceDN/>
        <w:bidi w:val="0"/>
        <w:adjustRightInd/>
        <w:snapToGrid/>
        <w:spacing w:before="0" w:line="560" w:lineRule="exact"/>
        <w:ind w:left="0" w:right="0" w:firstLine="0"/>
        <w:jc w:val="center"/>
        <w:textAlignment w:val="auto"/>
        <w:outlineLvl w:val="9"/>
        <w:rPr>
          <w:rFonts w:hint="eastAsia" w:asciiTheme="minorEastAsia" w:hAnsiTheme="minorEastAsia" w:eastAsiaTheme="minorEastAsia" w:cstheme="minorEastAsia"/>
          <w:b/>
          <w:color w:val="000000"/>
          <w:kern w:val="0"/>
          <w:sz w:val="28"/>
          <w:szCs w:val="28"/>
          <w:u w:val="none"/>
          <w:shd w:val="clear" w:color="070000" w:fill="auto"/>
          <w:lang w:val="en-US" w:eastAsia="zh-CN"/>
        </w:rPr>
      </w:pPr>
      <w:bookmarkStart w:id="26" w:name="_Toc32504"/>
      <w:bookmarkStart w:id="27" w:name="_Toc3024"/>
      <w:r>
        <w:rPr>
          <w:rFonts w:hint="eastAsia" w:asciiTheme="minorEastAsia" w:hAnsiTheme="minorEastAsia" w:eastAsiaTheme="minorEastAsia" w:cstheme="minorEastAsia"/>
          <w:b/>
          <w:color w:val="000000"/>
          <w:kern w:val="0"/>
          <w:sz w:val="28"/>
          <w:szCs w:val="28"/>
          <w:u w:val="none"/>
          <w:shd w:val="clear" w:color="070000" w:fill="auto"/>
          <w:lang w:val="en-US" w:eastAsia="zh-CN"/>
        </w:rPr>
        <w:t>滨州市基本医保门诊慢性病病种</w:t>
      </w:r>
      <w:bookmarkEnd w:id="16"/>
      <w:bookmarkEnd w:id="17"/>
      <w:bookmarkEnd w:id="18"/>
      <w:bookmarkEnd w:id="19"/>
      <w:bookmarkEnd w:id="20"/>
      <w:bookmarkEnd w:id="21"/>
      <w:bookmarkEnd w:id="22"/>
      <w:bookmarkStart w:id="28" w:name="_Toc22464"/>
      <w:bookmarkStart w:id="29" w:name="_Toc9253"/>
      <w:bookmarkStart w:id="30" w:name="_Toc2986"/>
      <w:bookmarkStart w:id="31" w:name="_Toc3870"/>
      <w:bookmarkStart w:id="32" w:name="_Toc11970"/>
      <w:bookmarkStart w:id="33" w:name="_Toc28141"/>
      <w:bookmarkStart w:id="34" w:name="_Toc19135"/>
      <w:r>
        <w:rPr>
          <w:rFonts w:hint="eastAsia" w:asciiTheme="minorEastAsia" w:hAnsiTheme="minorEastAsia" w:eastAsiaTheme="minorEastAsia" w:cstheme="minorEastAsia"/>
          <w:b/>
          <w:color w:val="000000"/>
          <w:kern w:val="0"/>
          <w:sz w:val="28"/>
          <w:szCs w:val="28"/>
          <w:u w:val="none"/>
          <w:shd w:val="clear" w:color="070000" w:fill="auto"/>
          <w:lang w:val="en-US" w:eastAsia="zh-CN"/>
        </w:rPr>
        <w:t>目录及认定标准</w:t>
      </w:r>
      <w:bookmarkEnd w:id="23"/>
      <w:bookmarkEnd w:id="24"/>
      <w:bookmarkEnd w:id="25"/>
      <w:bookmarkEnd w:id="26"/>
      <w:bookmarkEnd w:id="27"/>
      <w:bookmarkEnd w:id="28"/>
      <w:bookmarkEnd w:id="29"/>
      <w:bookmarkEnd w:id="30"/>
      <w:bookmarkEnd w:id="31"/>
      <w:bookmarkEnd w:id="32"/>
      <w:bookmarkEnd w:id="33"/>
      <w:bookmarkEnd w:id="34"/>
    </w:p>
    <w:tbl>
      <w:tblPr>
        <w:tblStyle w:val="15"/>
        <w:tblW w:w="93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86"/>
        <w:gridCol w:w="1121"/>
        <w:gridCol w:w="7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41" w:hRule="exact"/>
          <w:jc w:val="center"/>
        </w:trPr>
        <w:tc>
          <w:tcPr>
            <w:tcW w:w="686" w:type="dxa"/>
            <w:tcBorders>
              <w:top w:val="single" w:color="auto" w:sz="4" w:space="0"/>
              <w:left w:val="single" w:color="auto" w:sz="4" w:space="0"/>
            </w:tcBorders>
            <w:shd w:val="clear" w:color="auto" w:fill="FFFFFF"/>
            <w:vAlign w:val="bottom"/>
          </w:tcPr>
          <w:p>
            <w:pPr>
              <w:pStyle w:val="29"/>
              <w:widowControl w:val="0"/>
              <w:shd w:val="clear" w:color="auto" w:fill="auto"/>
              <w:spacing w:before="0" w:after="0" w:line="240" w:lineRule="auto"/>
              <w:ind w:left="0" w:right="0" w:firstLine="140"/>
              <w:jc w:val="left"/>
              <w:rPr>
                <w:sz w:val="20"/>
                <w:szCs w:val="20"/>
              </w:rPr>
            </w:pPr>
            <w:r>
              <w:rPr>
                <w:color w:val="000000"/>
                <w:spacing w:val="0"/>
                <w:w w:val="100"/>
                <w:position w:val="0"/>
                <w:sz w:val="20"/>
                <w:szCs w:val="20"/>
              </w:rPr>
              <w:t>序号</w:t>
            </w:r>
          </w:p>
        </w:tc>
        <w:tc>
          <w:tcPr>
            <w:tcW w:w="1121" w:type="dxa"/>
            <w:tcBorders>
              <w:top w:val="single" w:color="auto" w:sz="4" w:space="0"/>
              <w:left w:val="single" w:color="auto" w:sz="4" w:space="0"/>
            </w:tcBorders>
            <w:shd w:val="clear" w:color="auto" w:fill="FFFFFF"/>
            <w:vAlign w:val="bottom"/>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病种</w:t>
            </w:r>
          </w:p>
        </w:tc>
        <w:tc>
          <w:tcPr>
            <w:tcW w:w="7524" w:type="dxa"/>
            <w:tcBorders>
              <w:top w:val="single" w:color="auto" w:sz="4" w:space="0"/>
              <w:left w:val="single" w:color="auto" w:sz="4" w:space="0"/>
              <w:right w:val="single" w:color="auto" w:sz="4" w:space="0"/>
            </w:tcBorders>
            <w:shd w:val="clear" w:color="auto" w:fill="FFFFFF"/>
            <w:vAlign w:val="bottom"/>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认定标准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203"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1</w:t>
            </w:r>
          </w:p>
        </w:tc>
        <w:tc>
          <w:tcPr>
            <w:tcW w:w="112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7" w:lineRule="exact"/>
              <w:ind w:left="180" w:right="0" w:firstLine="0"/>
              <w:jc w:val="left"/>
              <w:rPr>
                <w:sz w:val="20"/>
                <w:szCs w:val="20"/>
              </w:rPr>
            </w:pPr>
            <w:r>
              <w:rPr>
                <w:color w:val="000000"/>
                <w:spacing w:val="0"/>
                <w:w w:val="100"/>
                <w:position w:val="0"/>
                <w:sz w:val="20"/>
                <w:szCs w:val="20"/>
              </w:rPr>
              <w:t>恶性肿瘤 的门诊治</w:t>
            </w:r>
          </w:p>
          <w:p>
            <w:pPr>
              <w:pStyle w:val="29"/>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疗</w:t>
            </w:r>
          </w:p>
        </w:tc>
        <w:tc>
          <w:tcPr>
            <w:tcW w:w="7524"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0" w:line="314" w:lineRule="exact"/>
              <w:ind w:left="0" w:right="0" w:firstLine="0"/>
              <w:jc w:val="left"/>
              <w:rPr>
                <w:sz w:val="20"/>
                <w:szCs w:val="20"/>
              </w:rPr>
            </w:pPr>
            <w:r>
              <w:rPr>
                <w:color w:val="000000"/>
                <w:spacing w:val="0"/>
                <w:w w:val="100"/>
                <w:position w:val="0"/>
                <w:sz w:val="20"/>
                <w:szCs w:val="20"/>
              </w:rPr>
              <w:t>恶性肿瘤的门诊治疗符合以下条件之一：</w:t>
            </w:r>
          </w:p>
          <w:p>
            <w:pPr>
              <w:pStyle w:val="29"/>
              <w:widowControl w:val="0"/>
              <w:shd w:val="clear" w:color="auto" w:fill="auto"/>
              <w:spacing w:before="0" w:after="0" w:line="314" w:lineRule="exact"/>
              <w:ind w:left="0" w:right="0" w:firstLine="0"/>
              <w:jc w:val="left"/>
              <w:rPr>
                <w:sz w:val="20"/>
                <w:szCs w:val="20"/>
              </w:rPr>
            </w:pPr>
            <w:r>
              <w:rPr>
                <w:color w:val="000000"/>
                <w:spacing w:val="0"/>
                <w:w w:val="100"/>
                <w:position w:val="0"/>
                <w:sz w:val="20"/>
                <w:szCs w:val="20"/>
                <w:lang w:val="en-US" w:eastAsia="en-US" w:bidi="en-US"/>
              </w:rPr>
              <w:t>L</w:t>
            </w:r>
            <w:r>
              <w:rPr>
                <w:color w:val="000000"/>
                <w:spacing w:val="0"/>
                <w:w w:val="100"/>
                <w:position w:val="0"/>
                <w:sz w:val="20"/>
                <w:szCs w:val="20"/>
              </w:rPr>
              <w:t>经病理学或细胞学诊断明确；</w:t>
            </w:r>
          </w:p>
          <w:p>
            <w:pPr>
              <w:pStyle w:val="29"/>
              <w:widowControl w:val="0"/>
              <w:numPr>
                <w:ilvl w:val="0"/>
                <w:numId w:val="1"/>
              </w:numPr>
              <w:shd w:val="clear" w:color="auto" w:fill="auto"/>
              <w:tabs>
                <w:tab w:val="left" w:pos="211"/>
              </w:tabs>
              <w:spacing w:before="0" w:after="0" w:line="314" w:lineRule="exact"/>
              <w:ind w:left="0" w:right="0" w:firstLine="0"/>
              <w:jc w:val="both"/>
              <w:rPr>
                <w:sz w:val="20"/>
                <w:szCs w:val="20"/>
              </w:rPr>
            </w:pPr>
            <w:r>
              <w:rPr>
                <w:color w:val="000000"/>
                <w:spacing w:val="0"/>
                <w:w w:val="100"/>
                <w:position w:val="0"/>
                <w:sz w:val="20"/>
                <w:szCs w:val="20"/>
              </w:rPr>
              <w:t>未经病理学或细胞学诊断，但根据病史、症状、体征，结合X线、</w:t>
            </w:r>
            <w:r>
              <w:rPr>
                <w:color w:val="000000"/>
                <w:spacing w:val="0"/>
                <w:w w:val="100"/>
                <w:position w:val="0"/>
                <w:sz w:val="20"/>
                <w:szCs w:val="20"/>
                <w:lang w:val="en-US" w:eastAsia="en-US" w:bidi="en-US"/>
              </w:rPr>
              <w:t>B</w:t>
            </w:r>
            <w:r>
              <w:rPr>
                <w:color w:val="000000"/>
                <w:spacing w:val="0"/>
                <w:w w:val="100"/>
                <w:position w:val="0"/>
                <w:sz w:val="20"/>
                <w:szCs w:val="20"/>
              </w:rPr>
              <w:t>超、</w:t>
            </w:r>
            <w:r>
              <w:rPr>
                <w:color w:val="000000"/>
                <w:spacing w:val="0"/>
                <w:w w:val="100"/>
                <w:position w:val="0"/>
                <w:sz w:val="20"/>
                <w:szCs w:val="20"/>
                <w:lang w:val="en-US" w:eastAsia="en-US" w:bidi="en-US"/>
              </w:rPr>
              <w:t>CT、</w:t>
            </w:r>
            <w:r>
              <w:rPr>
                <w:color w:val="000000"/>
                <w:spacing w:val="0"/>
                <w:w w:val="100"/>
                <w:position w:val="0"/>
                <w:sz w:val="20"/>
                <w:szCs w:val="20"/>
              </w:rPr>
              <w:t>磁共 振、内窥镜、实验室等辅助检查，经二级及以上医疗机构临床诊断为恶性肿瘤（需提供诊断证明）。</w:t>
            </w:r>
          </w:p>
          <w:p>
            <w:pPr>
              <w:pStyle w:val="29"/>
              <w:widowControl w:val="0"/>
              <w:numPr>
                <w:ilvl w:val="0"/>
                <w:numId w:val="1"/>
              </w:numPr>
              <w:shd w:val="clear" w:color="auto" w:fill="auto"/>
              <w:tabs>
                <w:tab w:val="left" w:pos="202"/>
              </w:tabs>
              <w:spacing w:before="0" w:after="0" w:line="314" w:lineRule="exact"/>
              <w:ind w:left="0" w:right="0" w:firstLine="0"/>
              <w:jc w:val="both"/>
              <w:rPr>
                <w:sz w:val="20"/>
                <w:szCs w:val="20"/>
              </w:rPr>
            </w:pPr>
            <w:r>
              <w:rPr>
                <w:color w:val="000000"/>
                <w:spacing w:val="0"/>
                <w:w w:val="100"/>
                <w:position w:val="0"/>
                <w:sz w:val="20"/>
                <w:szCs w:val="20"/>
              </w:rPr>
              <w:t>对于部分需要按恶性肿瘤处理的占位性病变，需提交术后复发转移或放化疗等的相关病历资料。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1"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2</w:t>
            </w:r>
          </w:p>
        </w:tc>
        <w:tc>
          <w:tcPr>
            <w:tcW w:w="1121"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2" w:lineRule="exact"/>
              <w:ind w:left="180" w:right="0" w:firstLine="0"/>
              <w:jc w:val="left"/>
              <w:rPr>
                <w:sz w:val="20"/>
                <w:szCs w:val="20"/>
              </w:rPr>
            </w:pPr>
            <w:r>
              <w:rPr>
                <w:color w:val="000000"/>
                <w:spacing w:val="0"/>
                <w:w w:val="100"/>
                <w:position w:val="0"/>
                <w:sz w:val="20"/>
                <w:szCs w:val="20"/>
              </w:rPr>
              <w:t>骨髓增生 异常综合</w:t>
            </w:r>
          </w:p>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征</w:t>
            </w:r>
          </w:p>
        </w:tc>
        <w:tc>
          <w:tcPr>
            <w:tcW w:w="7524"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312" w:lineRule="exact"/>
              <w:ind w:left="0" w:right="0" w:firstLine="0"/>
              <w:jc w:val="both"/>
              <w:rPr>
                <w:sz w:val="20"/>
                <w:szCs w:val="20"/>
              </w:rPr>
            </w:pPr>
            <w:r>
              <w:rPr>
                <w:color w:val="000000"/>
                <w:spacing w:val="0"/>
                <w:w w:val="100"/>
                <w:position w:val="0"/>
                <w:sz w:val="20"/>
                <w:szCs w:val="20"/>
              </w:rPr>
              <w:t>符合血液病临床症状、体征；血液及骨髓等检查（包括骨髓穿刺和骨髓活检）相应异常改变；经二级及以上医疗机构确诊。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813"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3</w:t>
            </w:r>
          </w:p>
        </w:tc>
        <w:tc>
          <w:tcPr>
            <w:tcW w:w="112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血友病</w:t>
            </w:r>
          </w:p>
        </w:tc>
        <w:tc>
          <w:tcPr>
            <w:tcW w:w="7524"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2"/>
              </w:numPr>
              <w:shd w:val="clear" w:color="auto" w:fill="auto"/>
              <w:tabs>
                <w:tab w:val="left" w:pos="206"/>
              </w:tabs>
              <w:spacing w:before="0" w:after="0" w:line="312" w:lineRule="exact"/>
              <w:ind w:left="0" w:right="0" w:firstLine="0"/>
              <w:jc w:val="both"/>
              <w:rPr>
                <w:sz w:val="20"/>
                <w:szCs w:val="20"/>
              </w:rPr>
            </w:pPr>
            <w:r>
              <w:rPr>
                <w:color w:val="000000"/>
                <w:spacing w:val="0"/>
                <w:w w:val="100"/>
                <w:position w:val="0"/>
                <w:sz w:val="20"/>
                <w:szCs w:val="20"/>
              </w:rPr>
              <w:t>符合血友病临床症状、体征</w:t>
            </w:r>
            <w:r>
              <w:rPr>
                <w:rFonts w:hint="eastAsia"/>
                <w:color w:val="000000"/>
                <w:spacing w:val="0"/>
                <w:w w:val="100"/>
                <w:position w:val="0"/>
                <w:sz w:val="20"/>
                <w:szCs w:val="20"/>
                <w:lang w:eastAsia="zh-CN"/>
              </w:rPr>
              <w:t>。</w:t>
            </w:r>
            <w:r>
              <w:rPr>
                <w:color w:val="000000"/>
                <w:spacing w:val="0"/>
                <w:w w:val="100"/>
                <w:position w:val="0"/>
                <w:sz w:val="20"/>
                <w:szCs w:val="20"/>
              </w:rPr>
              <w:t>有家族史的</w:t>
            </w:r>
            <w:r>
              <w:rPr>
                <w:rFonts w:hint="eastAsia"/>
                <w:color w:val="000000"/>
                <w:spacing w:val="0"/>
                <w:w w:val="100"/>
                <w:position w:val="0"/>
                <w:sz w:val="20"/>
                <w:szCs w:val="20"/>
                <w:lang w:eastAsia="zh-CN"/>
              </w:rPr>
              <w:t>，</w:t>
            </w:r>
            <w:r>
              <w:rPr>
                <w:color w:val="000000"/>
                <w:spacing w:val="0"/>
                <w:w w:val="100"/>
                <w:position w:val="0"/>
                <w:sz w:val="20"/>
                <w:szCs w:val="20"/>
              </w:rPr>
              <w:t>符合X染色体连锁隐性遗传规律。</w:t>
            </w:r>
          </w:p>
          <w:p>
            <w:pPr>
              <w:pStyle w:val="29"/>
              <w:widowControl w:val="0"/>
              <w:numPr>
                <w:ilvl w:val="0"/>
                <w:numId w:val="2"/>
              </w:numPr>
              <w:shd w:val="clear" w:color="auto" w:fill="auto"/>
              <w:tabs>
                <w:tab w:val="left" w:pos="211"/>
              </w:tabs>
              <w:spacing w:before="0" w:after="0" w:line="312" w:lineRule="exact"/>
              <w:ind w:left="0" w:right="0" w:firstLine="0"/>
              <w:jc w:val="both"/>
              <w:rPr>
                <w:sz w:val="20"/>
                <w:szCs w:val="20"/>
              </w:rPr>
            </w:pPr>
            <w:r>
              <w:rPr>
                <w:color w:val="000000"/>
                <w:spacing w:val="0"/>
                <w:w w:val="100"/>
                <w:position w:val="0"/>
                <w:sz w:val="20"/>
                <w:szCs w:val="20"/>
              </w:rPr>
              <w:t>实验室检查</w:t>
            </w:r>
          </w:p>
          <w:p>
            <w:pPr>
              <w:pStyle w:val="29"/>
              <w:widowControl w:val="0"/>
              <w:shd w:val="clear" w:color="auto" w:fill="auto"/>
              <w:spacing w:before="0" w:after="0" w:line="312" w:lineRule="exact"/>
              <w:ind w:left="0" w:right="0" w:firstLine="180"/>
              <w:jc w:val="both"/>
              <w:rPr>
                <w:sz w:val="20"/>
                <w:szCs w:val="20"/>
              </w:rPr>
            </w:pPr>
            <w:r>
              <w:rPr>
                <w:color w:val="000000"/>
                <w:spacing w:val="0"/>
                <w:w w:val="100"/>
                <w:position w:val="0"/>
                <w:sz w:val="20"/>
                <w:szCs w:val="20"/>
              </w:rPr>
              <w:t>（1 ）凝血酶原时间</w:t>
            </w:r>
            <w:r>
              <w:rPr>
                <w:color w:val="000000"/>
                <w:spacing w:val="0"/>
                <w:w w:val="100"/>
                <w:position w:val="0"/>
                <w:sz w:val="20"/>
                <w:szCs w:val="20"/>
                <w:lang w:val="en-US" w:eastAsia="en-US" w:bidi="en-US"/>
              </w:rPr>
              <w:t>（PT）</w:t>
            </w:r>
            <w:r>
              <w:rPr>
                <w:color w:val="000000"/>
                <w:spacing w:val="0"/>
                <w:w w:val="100"/>
                <w:position w:val="0"/>
                <w:sz w:val="20"/>
                <w:szCs w:val="20"/>
              </w:rPr>
              <w:t>正常、激活的部分凝血活酶时间</w:t>
            </w:r>
            <w:r>
              <w:rPr>
                <w:color w:val="000000"/>
                <w:spacing w:val="0"/>
                <w:w w:val="100"/>
                <w:position w:val="0"/>
                <w:sz w:val="20"/>
                <w:szCs w:val="20"/>
                <w:lang w:val="en-US" w:eastAsia="en-US" w:bidi="en-US"/>
              </w:rPr>
              <w:t>（APTT）</w:t>
            </w:r>
            <w:r>
              <w:rPr>
                <w:color w:val="000000"/>
                <w:spacing w:val="0"/>
                <w:w w:val="100"/>
                <w:position w:val="0"/>
                <w:sz w:val="20"/>
                <w:szCs w:val="20"/>
              </w:rPr>
              <w:t>延长，轻型血 友病患者</w:t>
            </w:r>
            <w:r>
              <w:rPr>
                <w:color w:val="000000"/>
                <w:spacing w:val="0"/>
                <w:w w:val="100"/>
                <w:position w:val="0"/>
                <w:sz w:val="20"/>
                <w:szCs w:val="20"/>
                <w:lang w:val="en-US" w:eastAsia="en-US" w:bidi="en-US"/>
              </w:rPr>
              <w:t>APTT</w:t>
            </w:r>
            <w:r>
              <w:rPr>
                <w:color w:val="000000"/>
                <w:spacing w:val="0"/>
                <w:w w:val="100"/>
                <w:position w:val="0"/>
                <w:sz w:val="20"/>
                <w:szCs w:val="20"/>
              </w:rPr>
              <w:t>仅轻度延长或正常。</w:t>
            </w:r>
          </w:p>
          <w:p>
            <w:pPr>
              <w:pStyle w:val="29"/>
              <w:widowControl w:val="0"/>
              <w:shd w:val="clear" w:color="auto" w:fill="auto"/>
              <w:spacing w:before="0" w:after="0" w:line="312" w:lineRule="exact"/>
              <w:ind w:left="0" w:right="0" w:firstLine="180"/>
              <w:jc w:val="both"/>
              <w:rPr>
                <w:sz w:val="20"/>
                <w:szCs w:val="20"/>
              </w:rPr>
            </w:pPr>
            <w:r>
              <w:rPr>
                <w:color w:val="000000"/>
                <w:spacing w:val="0"/>
                <w:w w:val="100"/>
                <w:position w:val="0"/>
                <w:sz w:val="20"/>
                <w:szCs w:val="20"/>
              </w:rPr>
              <w:t>（2 ）血友病</w:t>
            </w:r>
            <w:r>
              <w:rPr>
                <w:color w:val="000000"/>
                <w:spacing w:val="0"/>
                <w:w w:val="100"/>
                <w:position w:val="0"/>
                <w:sz w:val="20"/>
                <w:szCs w:val="20"/>
                <w:lang w:val="en-US" w:eastAsia="en-US" w:bidi="en-US"/>
              </w:rPr>
              <w:t>A</w:t>
            </w:r>
            <w:r>
              <w:rPr>
                <w:color w:val="000000"/>
                <w:spacing w:val="0"/>
                <w:w w:val="100"/>
                <w:position w:val="0"/>
                <w:sz w:val="20"/>
                <w:szCs w:val="20"/>
              </w:rPr>
              <w:t>患者</w:t>
            </w:r>
            <w:r>
              <w:rPr>
                <w:color w:val="000000"/>
                <w:spacing w:val="0"/>
                <w:w w:val="100"/>
                <w:position w:val="0"/>
                <w:sz w:val="20"/>
                <w:szCs w:val="20"/>
                <w:lang w:val="en-US" w:eastAsia="en-US" w:bidi="en-US"/>
              </w:rPr>
              <w:t xml:space="preserve">FVIII </w:t>
            </w:r>
            <w:r>
              <w:rPr>
                <w:color w:val="000000"/>
                <w:spacing w:val="0"/>
                <w:w w:val="100"/>
                <w:position w:val="0"/>
                <w:sz w:val="20"/>
                <w:szCs w:val="20"/>
              </w:rPr>
              <w:t xml:space="preserve">: </w:t>
            </w:r>
            <w:r>
              <w:rPr>
                <w:color w:val="000000"/>
                <w:spacing w:val="0"/>
                <w:w w:val="100"/>
                <w:position w:val="0"/>
                <w:sz w:val="20"/>
                <w:szCs w:val="20"/>
                <w:lang w:val="en-US" w:eastAsia="en-US" w:bidi="en-US"/>
              </w:rPr>
              <w:t>C</w:t>
            </w:r>
            <w:r>
              <w:rPr>
                <w:color w:val="000000"/>
                <w:spacing w:val="0"/>
                <w:w w:val="100"/>
                <w:position w:val="0"/>
                <w:sz w:val="20"/>
                <w:szCs w:val="20"/>
              </w:rPr>
              <w:t>减低或缺乏，</w:t>
            </w:r>
            <w:r>
              <w:rPr>
                <w:color w:val="000000"/>
                <w:spacing w:val="0"/>
                <w:w w:val="100"/>
                <w:position w:val="0"/>
                <w:sz w:val="20"/>
                <w:szCs w:val="20"/>
                <w:lang w:val="en-US" w:eastAsia="en-US" w:bidi="en-US"/>
              </w:rPr>
              <w:t xml:space="preserve">VWF </w:t>
            </w:r>
            <w:r>
              <w:rPr>
                <w:color w:val="000000"/>
                <w:spacing w:val="0"/>
                <w:w w:val="100"/>
                <w:position w:val="0"/>
                <w:sz w:val="20"/>
                <w:szCs w:val="20"/>
              </w:rPr>
              <w:t xml:space="preserve">: </w:t>
            </w:r>
            <w:r>
              <w:rPr>
                <w:color w:val="000000"/>
                <w:spacing w:val="0"/>
                <w:w w:val="100"/>
                <w:position w:val="0"/>
                <w:sz w:val="20"/>
                <w:szCs w:val="20"/>
                <w:lang w:val="en-US" w:eastAsia="en-US" w:bidi="en-US"/>
              </w:rPr>
              <w:t>Ag</w:t>
            </w:r>
            <w:r>
              <w:rPr>
                <w:color w:val="000000"/>
                <w:spacing w:val="0"/>
                <w:w w:val="100"/>
                <w:position w:val="0"/>
                <w:sz w:val="20"/>
                <w:szCs w:val="20"/>
              </w:rPr>
              <w:t>正常。血友病</w:t>
            </w:r>
            <w:r>
              <w:rPr>
                <w:color w:val="000000"/>
                <w:spacing w:val="0"/>
                <w:w w:val="100"/>
                <w:position w:val="0"/>
                <w:sz w:val="20"/>
                <w:szCs w:val="20"/>
                <w:lang w:val="en-US" w:eastAsia="en-US" w:bidi="en-US"/>
              </w:rPr>
              <w:t xml:space="preserve">B </w:t>
            </w:r>
            <w:r>
              <w:rPr>
                <w:color w:val="000000"/>
                <w:spacing w:val="0"/>
                <w:w w:val="100"/>
                <w:position w:val="0"/>
                <w:sz w:val="20"/>
                <w:szCs w:val="20"/>
              </w:rPr>
              <w:t>,患者</w:t>
            </w:r>
            <w:r>
              <w:rPr>
                <w:color w:val="000000"/>
                <w:spacing w:val="0"/>
                <w:w w:val="100"/>
                <w:position w:val="0"/>
                <w:sz w:val="20"/>
                <w:szCs w:val="20"/>
                <w:lang w:val="en-US" w:eastAsia="en-US" w:bidi="en-US"/>
              </w:rPr>
              <w:t xml:space="preserve">FIX </w:t>
            </w:r>
            <w:r>
              <w:rPr>
                <w:color w:val="000000"/>
                <w:spacing w:val="0"/>
                <w:w w:val="100"/>
                <w:position w:val="0"/>
                <w:sz w:val="20"/>
                <w:szCs w:val="20"/>
              </w:rPr>
              <w:t xml:space="preserve">: </w:t>
            </w:r>
            <w:r>
              <w:rPr>
                <w:color w:val="000000"/>
                <w:spacing w:val="0"/>
                <w:w w:val="100"/>
                <w:position w:val="0"/>
                <w:sz w:val="20"/>
                <w:szCs w:val="20"/>
                <w:lang w:val="en-US" w:eastAsia="en-US" w:bidi="en-US"/>
              </w:rPr>
              <w:t>C</w:t>
            </w:r>
            <w:r>
              <w:rPr>
                <w:color w:val="000000"/>
                <w:spacing w:val="0"/>
                <w:w w:val="100"/>
                <w:position w:val="0"/>
                <w:sz w:val="20"/>
                <w:szCs w:val="20"/>
              </w:rPr>
              <w:t>减低或 缺乏。根据患者凝血因子活性水平可将血友病分为重型</w:t>
            </w:r>
            <w:r>
              <w:rPr>
                <w:color w:val="000000"/>
                <w:spacing w:val="0"/>
                <w:w w:val="100"/>
                <w:position w:val="0"/>
                <w:sz w:val="20"/>
                <w:szCs w:val="20"/>
                <w:lang w:val="en-US" w:eastAsia="en-US" w:bidi="en-US"/>
              </w:rPr>
              <w:t>（＜lIU/dl）、</w:t>
            </w:r>
            <w:r>
              <w:rPr>
                <w:color w:val="000000"/>
                <w:spacing w:val="0"/>
                <w:w w:val="100"/>
                <w:position w:val="0"/>
                <w:sz w:val="20"/>
                <w:szCs w:val="20"/>
              </w:rPr>
              <w:t>中间型</w:t>
            </w:r>
            <w:r>
              <w:rPr>
                <w:color w:val="000000"/>
                <w:spacing w:val="0"/>
                <w:w w:val="100"/>
                <w:position w:val="0"/>
                <w:sz w:val="20"/>
                <w:szCs w:val="20"/>
                <w:lang w:val="en-US" w:eastAsia="en-US" w:bidi="en-US"/>
              </w:rPr>
              <w:t>（1-5 IU/dl）</w:t>
            </w:r>
            <w:r>
              <w:rPr>
                <w:color w:val="000000"/>
                <w:spacing w:val="0"/>
                <w:w w:val="100"/>
                <w:position w:val="0"/>
                <w:sz w:val="20"/>
                <w:szCs w:val="20"/>
              </w:rPr>
              <w:t xml:space="preserve">和轻型（＞5 一40 </w:t>
            </w:r>
            <w:r>
              <w:rPr>
                <w:color w:val="000000"/>
                <w:spacing w:val="0"/>
                <w:w w:val="100"/>
                <w:position w:val="0"/>
                <w:sz w:val="20"/>
                <w:szCs w:val="20"/>
                <w:lang w:val="en-US" w:eastAsia="en-US" w:bidi="en-US"/>
              </w:rPr>
              <w:t>IU/dl）</w:t>
            </w:r>
          </w:p>
          <w:p>
            <w:pPr>
              <w:pStyle w:val="29"/>
              <w:widowControl w:val="0"/>
              <w:shd w:val="clear" w:color="auto" w:fill="auto"/>
              <w:spacing w:before="0" w:after="0" w:line="312" w:lineRule="exact"/>
              <w:ind w:left="300" w:right="0" w:hanging="120"/>
              <w:jc w:val="both"/>
              <w:rPr>
                <w:sz w:val="20"/>
                <w:szCs w:val="20"/>
              </w:rPr>
            </w:pPr>
            <w:r>
              <w:rPr>
                <w:color w:val="000000"/>
                <w:spacing w:val="0"/>
                <w:w w:val="100"/>
                <w:position w:val="0"/>
                <w:sz w:val="20"/>
                <w:szCs w:val="20"/>
              </w:rPr>
              <w:t>（3）血友病患者确诊时应进行凝血因子VIII或IX的抑制物检测。符合上述条件， 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55"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4</w:t>
            </w:r>
          </w:p>
        </w:tc>
        <w:tc>
          <w:tcPr>
            <w:tcW w:w="112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白血病</w:t>
            </w:r>
          </w:p>
        </w:tc>
        <w:tc>
          <w:tcPr>
            <w:tcW w:w="7524"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3"/>
              </w:numPr>
              <w:shd w:val="clear" w:color="auto" w:fill="auto"/>
              <w:tabs>
                <w:tab w:val="left" w:pos="202"/>
              </w:tabs>
              <w:spacing w:before="0" w:after="80" w:line="240" w:lineRule="auto"/>
              <w:ind w:left="0" w:right="0" w:firstLine="0"/>
              <w:jc w:val="left"/>
              <w:rPr>
                <w:sz w:val="20"/>
                <w:szCs w:val="20"/>
              </w:rPr>
            </w:pPr>
            <w:r>
              <w:rPr>
                <w:color w:val="000000"/>
                <w:spacing w:val="0"/>
                <w:w w:val="100"/>
                <w:position w:val="0"/>
                <w:sz w:val="20"/>
                <w:szCs w:val="20"/>
              </w:rPr>
              <w:t>符合白血病临床表现；</w:t>
            </w:r>
          </w:p>
          <w:p>
            <w:pPr>
              <w:pStyle w:val="29"/>
              <w:widowControl w:val="0"/>
              <w:numPr>
                <w:ilvl w:val="0"/>
                <w:numId w:val="3"/>
              </w:numPr>
              <w:shd w:val="clear" w:color="auto" w:fill="auto"/>
              <w:tabs>
                <w:tab w:val="left" w:pos="202"/>
              </w:tabs>
              <w:spacing w:before="0" w:after="80" w:line="240" w:lineRule="auto"/>
              <w:ind w:left="0" w:right="0" w:firstLine="0"/>
              <w:jc w:val="left"/>
              <w:rPr>
                <w:sz w:val="20"/>
                <w:szCs w:val="20"/>
              </w:rPr>
            </w:pPr>
            <w:r>
              <w:rPr>
                <w:color w:val="000000"/>
                <w:spacing w:val="0"/>
                <w:w w:val="100"/>
                <w:position w:val="0"/>
                <w:sz w:val="20"/>
                <w:szCs w:val="20"/>
              </w:rPr>
              <w:t>血液及骨髓等相关检查相应异常改变。</w:t>
            </w:r>
          </w:p>
          <w:p>
            <w:pPr>
              <w:pStyle w:val="29"/>
              <w:widowControl w:val="0"/>
              <w:shd w:val="clear" w:color="auto" w:fill="auto"/>
              <w:spacing w:before="0" w:after="80" w:line="240" w:lineRule="auto"/>
              <w:ind w:left="0" w:right="0" w:firstLine="0"/>
              <w:jc w:val="left"/>
              <w:rPr>
                <w:sz w:val="20"/>
                <w:szCs w:val="20"/>
              </w:rPr>
            </w:pPr>
            <w:r>
              <w:rPr>
                <w:color w:val="000000"/>
                <w:spacing w:val="0"/>
                <w:w w:val="100"/>
                <w:position w:val="0"/>
                <w:sz w:val="20"/>
                <w:szCs w:val="20"/>
              </w:rPr>
              <w:t>符合上述条件，经二级及以上医疗机构确诊。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013"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5</w:t>
            </w:r>
          </w:p>
        </w:tc>
        <w:tc>
          <w:tcPr>
            <w:tcW w:w="112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再生障碍性贫血</w:t>
            </w:r>
          </w:p>
        </w:tc>
        <w:tc>
          <w:tcPr>
            <w:tcW w:w="7524"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4"/>
              </w:numPr>
              <w:shd w:val="clear" w:color="auto" w:fill="auto"/>
              <w:tabs>
                <w:tab w:val="left" w:pos="202"/>
              </w:tabs>
              <w:spacing w:before="0" w:after="60" w:line="240" w:lineRule="auto"/>
              <w:ind w:left="0" w:right="0" w:firstLine="0"/>
              <w:jc w:val="left"/>
              <w:rPr>
                <w:sz w:val="20"/>
                <w:szCs w:val="20"/>
              </w:rPr>
            </w:pPr>
            <w:r>
              <w:rPr>
                <w:color w:val="000000"/>
                <w:spacing w:val="0"/>
                <w:w w:val="100"/>
                <w:position w:val="0"/>
                <w:sz w:val="20"/>
                <w:szCs w:val="20"/>
              </w:rPr>
              <w:t>符合再生障碍性贫血临床症状、体征；</w:t>
            </w:r>
          </w:p>
          <w:p>
            <w:pPr>
              <w:pStyle w:val="29"/>
              <w:widowControl w:val="0"/>
              <w:numPr>
                <w:ilvl w:val="0"/>
                <w:numId w:val="4"/>
              </w:numPr>
              <w:shd w:val="clear" w:color="auto" w:fill="auto"/>
              <w:tabs>
                <w:tab w:val="left" w:pos="202"/>
              </w:tabs>
              <w:spacing w:before="0" w:after="60" w:line="240" w:lineRule="auto"/>
              <w:ind w:left="0" w:right="0" w:firstLine="0"/>
              <w:jc w:val="left"/>
              <w:rPr>
                <w:sz w:val="20"/>
                <w:szCs w:val="20"/>
              </w:rPr>
            </w:pPr>
            <w:r>
              <w:rPr>
                <w:color w:val="000000"/>
                <w:spacing w:val="0"/>
                <w:w w:val="100"/>
                <w:position w:val="0"/>
                <w:sz w:val="20"/>
                <w:szCs w:val="20"/>
              </w:rPr>
              <w:t>血液及骨髓等相关检查相应异常改变。</w:t>
            </w:r>
          </w:p>
          <w:p>
            <w:pPr>
              <w:pStyle w:val="29"/>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符合上述条件，经二级及以上医疗机构确诊。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027"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6</w:t>
            </w:r>
          </w:p>
        </w:tc>
        <w:tc>
          <w:tcPr>
            <w:tcW w:w="1121"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0" w:lineRule="exact"/>
              <w:ind w:left="0" w:right="0" w:firstLine="0"/>
              <w:jc w:val="center"/>
              <w:rPr>
                <w:sz w:val="20"/>
                <w:szCs w:val="20"/>
              </w:rPr>
            </w:pPr>
            <w:r>
              <w:rPr>
                <w:color w:val="000000"/>
                <w:spacing w:val="0"/>
                <w:w w:val="100"/>
                <w:position w:val="0"/>
                <w:sz w:val="20"/>
                <w:szCs w:val="20"/>
              </w:rPr>
              <w:t>免疫性血小板减少性紫瘢</w:t>
            </w:r>
          </w:p>
        </w:tc>
        <w:tc>
          <w:tcPr>
            <w:tcW w:w="7524"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5"/>
              </w:numPr>
              <w:shd w:val="clear" w:color="auto" w:fill="auto"/>
              <w:tabs>
                <w:tab w:val="left" w:pos="202"/>
              </w:tabs>
              <w:spacing w:before="80" w:after="60" w:line="240" w:lineRule="auto"/>
              <w:ind w:left="0" w:right="0" w:firstLine="0"/>
              <w:jc w:val="left"/>
              <w:rPr>
                <w:sz w:val="20"/>
                <w:szCs w:val="20"/>
              </w:rPr>
            </w:pPr>
            <w:r>
              <w:rPr>
                <w:color w:val="000000"/>
                <w:spacing w:val="0"/>
                <w:w w:val="100"/>
                <w:position w:val="0"/>
                <w:sz w:val="20"/>
                <w:szCs w:val="20"/>
              </w:rPr>
              <w:t>符合免疫性血小板减少性紫瘢临床表现；</w:t>
            </w:r>
          </w:p>
          <w:p>
            <w:pPr>
              <w:pStyle w:val="29"/>
              <w:widowControl w:val="0"/>
              <w:numPr>
                <w:ilvl w:val="0"/>
                <w:numId w:val="5"/>
              </w:numPr>
              <w:shd w:val="clear" w:color="auto" w:fill="auto"/>
              <w:tabs>
                <w:tab w:val="left" w:pos="202"/>
              </w:tabs>
              <w:spacing w:before="0" w:after="60" w:line="240" w:lineRule="auto"/>
              <w:ind w:left="0" w:right="0" w:firstLine="0"/>
              <w:jc w:val="left"/>
              <w:rPr>
                <w:sz w:val="20"/>
                <w:szCs w:val="20"/>
              </w:rPr>
            </w:pPr>
            <w:r>
              <w:rPr>
                <w:color w:val="000000"/>
                <w:spacing w:val="0"/>
                <w:w w:val="100"/>
                <w:position w:val="0"/>
                <w:sz w:val="20"/>
                <w:szCs w:val="20"/>
              </w:rPr>
              <w:t>血液及骨髓等相关检查相应异常改变</w:t>
            </w:r>
            <w:r>
              <w:rPr>
                <w:rFonts w:hint="eastAsia"/>
                <w:color w:val="000000"/>
                <w:spacing w:val="0"/>
                <w:w w:val="100"/>
                <w:position w:val="0"/>
                <w:sz w:val="20"/>
                <w:szCs w:val="20"/>
                <w:lang w:eastAsia="zh-CN"/>
              </w:rPr>
              <w:t>。</w:t>
            </w:r>
          </w:p>
          <w:p>
            <w:pPr>
              <w:pStyle w:val="29"/>
              <w:widowControl w:val="0"/>
              <w:shd w:val="clear" w:color="auto" w:fill="auto"/>
              <w:spacing w:before="0" w:after="60" w:line="240" w:lineRule="auto"/>
              <w:ind w:left="0" w:right="0" w:firstLine="0"/>
              <w:jc w:val="left"/>
              <w:rPr>
                <w:rFonts w:hint="eastAsia" w:eastAsia="宋体"/>
                <w:sz w:val="20"/>
                <w:szCs w:val="20"/>
                <w:lang w:eastAsia="zh-CN"/>
              </w:rPr>
            </w:pPr>
            <w:r>
              <w:rPr>
                <w:color w:val="000000"/>
                <w:spacing w:val="0"/>
                <w:w w:val="100"/>
                <w:position w:val="0"/>
                <w:sz w:val="20"/>
                <w:szCs w:val="20"/>
              </w:rPr>
              <w:t>符合上述条件，经二级及以上医疗机构确诊</w:t>
            </w:r>
            <w:r>
              <w:rPr>
                <w:rFonts w:hint="eastAsia"/>
                <w:color w:val="000000"/>
                <w:spacing w:val="0"/>
                <w:w w:val="100"/>
                <w:position w:val="0"/>
                <w:sz w:val="20"/>
                <w:szCs w:val="20"/>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65" w:hRule="exact"/>
          <w:jc w:val="center"/>
        </w:trPr>
        <w:tc>
          <w:tcPr>
            <w:tcW w:w="686"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7</w:t>
            </w:r>
          </w:p>
        </w:tc>
        <w:tc>
          <w:tcPr>
            <w:tcW w:w="1121" w:type="dxa"/>
            <w:tcBorders>
              <w:top w:val="single" w:color="auto" w:sz="4" w:space="0"/>
              <w:left w:val="single" w:color="auto" w:sz="4" w:space="0"/>
              <w:bottom w:val="single" w:color="auto" w:sz="4" w:space="0"/>
            </w:tcBorders>
            <w:shd w:val="clear" w:color="auto" w:fill="FFFFFF"/>
            <w:vAlign w:val="top"/>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原发性血小板增多症</w:t>
            </w:r>
          </w:p>
        </w:tc>
        <w:tc>
          <w:tcPr>
            <w:tcW w:w="7524" w:type="dxa"/>
            <w:tcBorders>
              <w:top w:val="single" w:color="auto" w:sz="4" w:space="0"/>
              <w:left w:val="single" w:color="auto" w:sz="4" w:space="0"/>
              <w:bottom w:val="single" w:color="auto" w:sz="4" w:space="0"/>
              <w:right w:val="single" w:color="auto" w:sz="4" w:space="0"/>
            </w:tcBorders>
            <w:shd w:val="clear" w:color="auto" w:fill="FFFFFF"/>
            <w:vAlign w:val="top"/>
          </w:tcPr>
          <w:p>
            <w:pPr>
              <w:pStyle w:val="29"/>
              <w:widowControl w:val="0"/>
              <w:shd w:val="clear" w:color="auto" w:fill="auto"/>
              <w:spacing w:before="0" w:after="0" w:line="317" w:lineRule="exact"/>
              <w:ind w:left="0" w:right="0" w:firstLine="0"/>
              <w:jc w:val="left"/>
              <w:rPr>
                <w:sz w:val="20"/>
                <w:szCs w:val="20"/>
              </w:rPr>
            </w:pPr>
            <w:r>
              <w:rPr>
                <w:color w:val="000000"/>
                <w:spacing w:val="0"/>
                <w:w w:val="100"/>
                <w:position w:val="0"/>
                <w:sz w:val="20"/>
                <w:szCs w:val="20"/>
                <w:lang w:val="en-US" w:eastAsia="en-US" w:bidi="en-US"/>
              </w:rPr>
              <w:t>1-</w:t>
            </w:r>
            <w:r>
              <w:rPr>
                <w:color w:val="000000"/>
                <w:spacing w:val="0"/>
                <w:w w:val="100"/>
                <w:position w:val="0"/>
                <w:sz w:val="20"/>
                <w:szCs w:val="20"/>
              </w:rPr>
              <w:t>符合原发性血小板增多症临床表现；</w:t>
            </w:r>
          </w:p>
          <w:p>
            <w:pPr>
              <w:pStyle w:val="29"/>
              <w:widowControl w:val="0"/>
              <w:shd w:val="clear" w:color="auto" w:fill="auto"/>
              <w:spacing w:before="0" w:after="0" w:line="317" w:lineRule="exact"/>
              <w:ind w:left="0" w:right="0" w:firstLine="0"/>
              <w:jc w:val="both"/>
              <w:rPr>
                <w:sz w:val="20"/>
                <w:szCs w:val="20"/>
              </w:rPr>
            </w:pPr>
            <w:r>
              <w:rPr>
                <w:color w:val="000000"/>
                <w:spacing w:val="0"/>
                <w:w w:val="100"/>
                <w:position w:val="0"/>
                <w:sz w:val="20"/>
                <w:szCs w:val="20"/>
                <w:lang w:val="en-US" w:eastAsia="en-US" w:bidi="en-US"/>
              </w:rPr>
              <w:t>2.</w:t>
            </w:r>
            <w:r>
              <w:rPr>
                <w:color w:val="000000"/>
                <w:spacing w:val="0"/>
                <w:w w:val="100"/>
                <w:position w:val="0"/>
                <w:sz w:val="20"/>
                <w:szCs w:val="20"/>
              </w:rPr>
              <w:t>血液及骨髓等相关检查相应异常改变。 符合上述条件，经二级及以上医疗机构确诊。</w:t>
            </w:r>
          </w:p>
        </w:tc>
      </w:tr>
    </w:tbl>
    <w:p>
      <w:pPr>
        <w:widowControl w:val="0"/>
        <w:spacing w:line="1" w:lineRule="exact"/>
      </w:pPr>
      <w:r>
        <w:br w:type="page"/>
      </w:r>
    </w:p>
    <w:tbl>
      <w:tblPr>
        <w:tblStyle w:val="15"/>
        <w:tblW w:w="93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91"/>
        <w:gridCol w:w="1272"/>
        <w:gridCol w:w="7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70"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320"/>
              <w:jc w:val="left"/>
              <w:rPr>
                <w:sz w:val="20"/>
                <w:szCs w:val="20"/>
              </w:rPr>
            </w:pPr>
            <w:r>
              <w:rPr>
                <w:color w:val="000000"/>
                <w:spacing w:val="0"/>
                <w:w w:val="100"/>
                <w:position w:val="0"/>
                <w:sz w:val="20"/>
                <w:szCs w:val="20"/>
              </w:rPr>
              <w:t>8</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22" w:lineRule="exact"/>
              <w:ind w:left="0" w:right="0" w:firstLine="0"/>
              <w:jc w:val="center"/>
              <w:rPr>
                <w:sz w:val="20"/>
                <w:szCs w:val="20"/>
              </w:rPr>
            </w:pPr>
            <w:r>
              <w:rPr>
                <w:color w:val="000000"/>
                <w:spacing w:val="0"/>
                <w:w w:val="100"/>
                <w:position w:val="0"/>
                <w:sz w:val="20"/>
                <w:szCs w:val="20"/>
              </w:rPr>
              <w:t>真性红细胞增多症</w:t>
            </w:r>
          </w:p>
        </w:tc>
        <w:tc>
          <w:tcPr>
            <w:tcW w:w="7382" w:type="dxa"/>
            <w:tcBorders>
              <w:top w:val="single" w:color="auto" w:sz="4" w:space="0"/>
              <w:left w:val="single" w:color="auto" w:sz="4" w:space="0"/>
              <w:right w:val="single" w:color="auto" w:sz="4" w:space="0"/>
            </w:tcBorders>
            <w:shd w:val="clear" w:color="auto" w:fill="FFFFFF"/>
            <w:vAlign w:val="bottom"/>
          </w:tcPr>
          <w:p>
            <w:pPr>
              <w:pStyle w:val="29"/>
              <w:widowControl w:val="0"/>
              <w:numPr>
                <w:ilvl w:val="0"/>
                <w:numId w:val="0"/>
              </w:numPr>
              <w:shd w:val="clear" w:color="auto" w:fill="auto"/>
              <w:tabs>
                <w:tab w:val="left" w:pos="197"/>
              </w:tabs>
              <w:spacing w:before="0" w:after="60" w:line="240" w:lineRule="auto"/>
              <w:ind w:leftChars="0" w:right="0" w:rightChars="0"/>
              <w:jc w:val="left"/>
              <w:rPr>
                <w:sz w:val="20"/>
                <w:szCs w:val="20"/>
              </w:rPr>
            </w:pPr>
            <w:r>
              <w:rPr>
                <w:rFonts w:hint="eastAsia"/>
                <w:color w:val="000000"/>
                <w:spacing w:val="0"/>
                <w:w w:val="100"/>
                <w:position w:val="0"/>
                <w:sz w:val="20"/>
                <w:szCs w:val="20"/>
                <w:lang w:val="en-US" w:eastAsia="zh-CN"/>
              </w:rPr>
              <w:t>1.</w:t>
            </w:r>
            <w:r>
              <w:rPr>
                <w:color w:val="000000"/>
                <w:spacing w:val="0"/>
                <w:w w:val="100"/>
                <w:position w:val="0"/>
                <w:sz w:val="20"/>
                <w:szCs w:val="20"/>
              </w:rPr>
              <w:t>符合真性红细胞增多症临床表现；</w:t>
            </w:r>
          </w:p>
          <w:p>
            <w:pPr>
              <w:pStyle w:val="29"/>
              <w:widowControl w:val="0"/>
              <w:numPr>
                <w:ilvl w:val="0"/>
                <w:numId w:val="0"/>
              </w:numPr>
              <w:shd w:val="clear" w:color="auto" w:fill="auto"/>
              <w:tabs>
                <w:tab w:val="left" w:pos="206"/>
              </w:tabs>
              <w:spacing w:before="0" w:after="60" w:line="240" w:lineRule="auto"/>
              <w:ind w:leftChars="0" w:right="0" w:rightChars="0"/>
              <w:jc w:val="left"/>
              <w:rPr>
                <w:sz w:val="20"/>
                <w:szCs w:val="20"/>
              </w:rPr>
            </w:pPr>
            <w:r>
              <w:rPr>
                <w:rFonts w:hint="eastAsia"/>
                <w:color w:val="000000"/>
                <w:spacing w:val="0"/>
                <w:w w:val="100"/>
                <w:position w:val="0"/>
                <w:sz w:val="20"/>
                <w:szCs w:val="20"/>
                <w:lang w:val="en-US" w:eastAsia="zh-CN"/>
              </w:rPr>
              <w:t>2.</w:t>
            </w:r>
            <w:r>
              <w:rPr>
                <w:color w:val="000000"/>
                <w:spacing w:val="0"/>
                <w:w w:val="100"/>
                <w:position w:val="0"/>
                <w:sz w:val="20"/>
                <w:szCs w:val="20"/>
              </w:rPr>
              <w:t>血液及骨髓等相关检查相应异常改变。</w:t>
            </w:r>
          </w:p>
          <w:p>
            <w:pPr>
              <w:pStyle w:val="29"/>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符合上述条件，经二级及以上医疗机构确诊。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320"/>
              <w:jc w:val="left"/>
              <w:rPr>
                <w:sz w:val="20"/>
                <w:szCs w:val="20"/>
              </w:rPr>
            </w:pPr>
            <w:r>
              <w:rPr>
                <w:color w:val="000000"/>
                <w:spacing w:val="0"/>
                <w:w w:val="100"/>
                <w:position w:val="0"/>
                <w:sz w:val="20"/>
                <w:szCs w:val="20"/>
              </w:rPr>
              <w:t>9</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7" w:lineRule="exact"/>
              <w:ind w:left="180" w:right="0" w:firstLine="20"/>
              <w:jc w:val="left"/>
              <w:rPr>
                <w:sz w:val="20"/>
                <w:szCs w:val="20"/>
              </w:rPr>
            </w:pPr>
            <w:r>
              <w:rPr>
                <w:color w:val="000000"/>
                <w:spacing w:val="0"/>
                <w:w w:val="100"/>
                <w:position w:val="0"/>
                <w:sz w:val="20"/>
                <w:szCs w:val="20"/>
              </w:rPr>
              <w:t>原发性骨 髓纤维化</w:t>
            </w:r>
          </w:p>
        </w:tc>
        <w:tc>
          <w:tcPr>
            <w:tcW w:w="7382"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0"/>
              </w:numPr>
              <w:shd w:val="clear" w:color="auto" w:fill="auto"/>
              <w:tabs>
                <w:tab w:val="left" w:pos="197"/>
              </w:tabs>
              <w:spacing w:before="0" w:after="60" w:line="240" w:lineRule="auto"/>
              <w:ind w:leftChars="0" w:right="0" w:rightChars="0"/>
              <w:jc w:val="left"/>
              <w:rPr>
                <w:sz w:val="20"/>
                <w:szCs w:val="20"/>
              </w:rPr>
            </w:pPr>
            <w:r>
              <w:rPr>
                <w:rFonts w:hint="eastAsia"/>
                <w:color w:val="000000"/>
                <w:spacing w:val="0"/>
                <w:w w:val="100"/>
                <w:position w:val="0"/>
                <w:sz w:val="20"/>
                <w:szCs w:val="20"/>
                <w:lang w:val="en-US" w:eastAsia="zh-CN"/>
              </w:rPr>
              <w:t>1.</w:t>
            </w:r>
            <w:r>
              <w:rPr>
                <w:color w:val="000000"/>
                <w:spacing w:val="0"/>
                <w:w w:val="100"/>
                <w:position w:val="0"/>
                <w:sz w:val="20"/>
                <w:szCs w:val="20"/>
              </w:rPr>
              <w:t>符合原发性骨髓纤维化临床表现；</w:t>
            </w:r>
          </w:p>
          <w:p>
            <w:pPr>
              <w:pStyle w:val="29"/>
              <w:widowControl w:val="0"/>
              <w:numPr>
                <w:ilvl w:val="0"/>
                <w:numId w:val="0"/>
              </w:numPr>
              <w:shd w:val="clear" w:color="auto" w:fill="auto"/>
              <w:tabs>
                <w:tab w:val="left" w:pos="206"/>
              </w:tabs>
              <w:spacing w:before="0" w:after="60" w:line="240" w:lineRule="auto"/>
              <w:ind w:leftChars="0" w:right="0" w:rightChars="0"/>
              <w:jc w:val="left"/>
              <w:rPr>
                <w:sz w:val="20"/>
                <w:szCs w:val="20"/>
              </w:rPr>
            </w:pPr>
            <w:r>
              <w:rPr>
                <w:rFonts w:hint="eastAsia"/>
                <w:color w:val="000000"/>
                <w:spacing w:val="0"/>
                <w:w w:val="100"/>
                <w:position w:val="0"/>
                <w:sz w:val="20"/>
                <w:szCs w:val="20"/>
                <w:lang w:val="en-US" w:eastAsia="zh-CN"/>
              </w:rPr>
              <w:t>2.</w:t>
            </w:r>
            <w:r>
              <w:rPr>
                <w:color w:val="000000"/>
                <w:spacing w:val="0"/>
                <w:w w:val="100"/>
                <w:position w:val="0"/>
                <w:sz w:val="20"/>
                <w:szCs w:val="20"/>
              </w:rPr>
              <w:t>血液及骨髓等相关检查相应异常改变。</w:t>
            </w:r>
          </w:p>
          <w:p>
            <w:pPr>
              <w:pStyle w:val="29"/>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符合上述条件，经二级及以上医疗机构确诊。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634"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10</w:t>
            </w:r>
          </w:p>
        </w:tc>
        <w:tc>
          <w:tcPr>
            <w:tcW w:w="1272"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高血压病伴并发症</w:t>
            </w:r>
          </w:p>
        </w:tc>
        <w:tc>
          <w:tcPr>
            <w:tcW w:w="7382"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经医疗机构确诊为高血压病，同时伴有心、脑、肾、眼并发症之一。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253"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11</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冠心病</w:t>
            </w:r>
          </w:p>
        </w:tc>
        <w:tc>
          <w:tcPr>
            <w:tcW w:w="7382"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0" w:line="310" w:lineRule="exact"/>
              <w:ind w:left="0" w:right="0" w:firstLine="0"/>
              <w:jc w:val="left"/>
              <w:rPr>
                <w:sz w:val="20"/>
                <w:szCs w:val="20"/>
              </w:rPr>
            </w:pPr>
            <w:r>
              <w:rPr>
                <w:color w:val="000000"/>
                <w:spacing w:val="0"/>
                <w:w w:val="100"/>
                <w:position w:val="0"/>
                <w:sz w:val="20"/>
                <w:szCs w:val="20"/>
              </w:rPr>
              <w:t>经医疗机构确诊为冠心病，有不稳定心绞痛发作或心肌梗死病史，并符合以下条件之一：</w:t>
            </w:r>
          </w:p>
          <w:p>
            <w:pPr>
              <w:pStyle w:val="29"/>
              <w:widowControl w:val="0"/>
              <w:shd w:val="clear" w:color="auto" w:fill="auto"/>
              <w:spacing w:before="0" w:after="0" w:line="310" w:lineRule="exact"/>
              <w:ind w:left="0" w:right="0" w:firstLine="0"/>
              <w:jc w:val="left"/>
              <w:rPr>
                <w:sz w:val="20"/>
                <w:szCs w:val="20"/>
              </w:rPr>
            </w:pPr>
            <w:r>
              <w:rPr>
                <w:color w:val="000000"/>
                <w:spacing w:val="0"/>
                <w:w w:val="100"/>
                <w:position w:val="0"/>
                <w:sz w:val="20"/>
                <w:szCs w:val="20"/>
              </w:rPr>
              <w:t>冠状动脉造影、冠状动脉</w:t>
            </w:r>
            <w:r>
              <w:rPr>
                <w:color w:val="000000"/>
                <w:spacing w:val="0"/>
                <w:w w:val="100"/>
                <w:position w:val="0"/>
                <w:sz w:val="20"/>
                <w:szCs w:val="20"/>
                <w:lang w:val="en-US" w:eastAsia="en-US" w:bidi="en-US"/>
              </w:rPr>
              <w:t>CT、</w:t>
            </w:r>
            <w:r>
              <w:rPr>
                <w:color w:val="000000"/>
                <w:spacing w:val="0"/>
                <w:w w:val="100"/>
                <w:position w:val="0"/>
                <w:sz w:val="20"/>
                <w:szCs w:val="20"/>
              </w:rPr>
              <w:t>心肌损伤标志物、超声心动图、心脏负荷试验、 动态心电图异常改变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258"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12</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肺源性心脏病</w:t>
            </w:r>
          </w:p>
        </w:tc>
        <w:tc>
          <w:tcPr>
            <w:tcW w:w="7382" w:type="dxa"/>
            <w:tcBorders>
              <w:top w:val="single" w:color="auto" w:sz="4" w:space="0"/>
              <w:left w:val="single" w:color="auto" w:sz="4" w:space="0"/>
              <w:right w:val="single" w:color="auto" w:sz="4" w:space="0"/>
            </w:tcBorders>
            <w:shd w:val="clear" w:color="auto" w:fill="FFFFFF"/>
            <w:vAlign w:val="bottom"/>
          </w:tcPr>
          <w:p>
            <w:pPr>
              <w:pStyle w:val="29"/>
              <w:widowControl w:val="0"/>
              <w:numPr>
                <w:ilvl w:val="0"/>
                <w:numId w:val="6"/>
              </w:numPr>
              <w:shd w:val="clear" w:color="auto" w:fill="auto"/>
              <w:tabs>
                <w:tab w:val="left" w:pos="197"/>
              </w:tabs>
              <w:spacing w:before="0" w:after="0" w:line="317" w:lineRule="exact"/>
              <w:ind w:left="0" w:right="0" w:firstLine="0"/>
              <w:jc w:val="left"/>
              <w:rPr>
                <w:sz w:val="20"/>
                <w:szCs w:val="20"/>
              </w:rPr>
            </w:pPr>
            <w:r>
              <w:rPr>
                <w:color w:val="000000"/>
                <w:spacing w:val="0"/>
                <w:w w:val="100"/>
                <w:position w:val="0"/>
                <w:sz w:val="20"/>
                <w:szCs w:val="20"/>
              </w:rPr>
              <w:t>有慢阻肺或慢性支气管炎、肺气肿病史，或其他胸肺疾病病史；</w:t>
            </w:r>
          </w:p>
          <w:p>
            <w:pPr>
              <w:pStyle w:val="29"/>
              <w:widowControl w:val="0"/>
              <w:numPr>
                <w:ilvl w:val="0"/>
                <w:numId w:val="6"/>
              </w:numPr>
              <w:shd w:val="clear" w:color="auto" w:fill="auto"/>
              <w:tabs>
                <w:tab w:val="left" w:pos="206"/>
              </w:tabs>
              <w:spacing w:before="0" w:after="0" w:line="317" w:lineRule="exact"/>
              <w:ind w:left="0" w:right="0" w:firstLine="0"/>
              <w:jc w:val="left"/>
              <w:rPr>
                <w:sz w:val="20"/>
                <w:szCs w:val="20"/>
              </w:rPr>
            </w:pPr>
            <w:r>
              <w:rPr>
                <w:color w:val="000000"/>
                <w:spacing w:val="0"/>
                <w:w w:val="100"/>
                <w:position w:val="0"/>
                <w:sz w:val="20"/>
                <w:szCs w:val="20"/>
              </w:rPr>
              <w:t>符合临床症状和体征；</w:t>
            </w:r>
          </w:p>
          <w:p>
            <w:pPr>
              <w:pStyle w:val="29"/>
              <w:widowControl w:val="0"/>
              <w:numPr>
                <w:ilvl w:val="0"/>
                <w:numId w:val="6"/>
              </w:numPr>
              <w:shd w:val="clear" w:color="auto" w:fill="auto"/>
              <w:tabs>
                <w:tab w:val="left" w:pos="206"/>
              </w:tabs>
              <w:spacing w:before="0" w:after="0" w:line="317" w:lineRule="exact"/>
              <w:ind w:left="0" w:right="0" w:firstLine="0"/>
              <w:jc w:val="left"/>
              <w:rPr>
                <w:sz w:val="20"/>
                <w:szCs w:val="20"/>
              </w:rPr>
            </w:pPr>
            <w:r>
              <w:rPr>
                <w:color w:val="000000"/>
                <w:spacing w:val="0"/>
                <w:w w:val="100"/>
                <w:position w:val="0"/>
                <w:sz w:val="20"/>
                <w:szCs w:val="20"/>
              </w:rPr>
              <w:t>辅助检查：心电图、X线胸片、超声心动图有肺动脉增宽和右心增大肥厚的征象</w:t>
            </w:r>
            <w:r>
              <w:rPr>
                <w:rFonts w:hint="eastAsia"/>
                <w:color w:val="000000"/>
                <w:spacing w:val="0"/>
                <w:w w:val="100"/>
                <w:position w:val="0"/>
                <w:sz w:val="20"/>
                <w:szCs w:val="20"/>
                <w:lang w:eastAsia="zh-CN"/>
              </w:rPr>
              <w:t>。</w:t>
            </w:r>
            <w:r>
              <w:rPr>
                <w:color w:val="000000"/>
                <w:spacing w:val="0"/>
                <w:w w:val="100"/>
                <w:position w:val="0"/>
                <w:sz w:val="20"/>
                <w:szCs w:val="20"/>
              </w:rPr>
              <w:t>符合上述条件，经二级及以上医疗机构确诊。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565"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13</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慢性心力衰竭</w:t>
            </w:r>
          </w:p>
        </w:tc>
        <w:tc>
          <w:tcPr>
            <w:tcW w:w="7382"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7"/>
              </w:numPr>
              <w:shd w:val="clear" w:color="auto" w:fill="auto"/>
              <w:tabs>
                <w:tab w:val="left" w:pos="202"/>
              </w:tabs>
              <w:spacing w:before="0" w:after="0" w:line="326" w:lineRule="exact"/>
              <w:ind w:left="0" w:right="0" w:firstLine="0"/>
              <w:jc w:val="left"/>
              <w:rPr>
                <w:sz w:val="20"/>
                <w:szCs w:val="20"/>
              </w:rPr>
            </w:pPr>
            <w:r>
              <w:rPr>
                <w:color w:val="000000"/>
                <w:spacing w:val="0"/>
                <w:w w:val="100"/>
                <w:position w:val="0"/>
                <w:sz w:val="20"/>
                <w:szCs w:val="20"/>
              </w:rPr>
              <w:t>有导致心力衰竭的病史，符合心力衰竭的临床症状和体征；</w:t>
            </w:r>
          </w:p>
          <w:p>
            <w:pPr>
              <w:pStyle w:val="29"/>
              <w:widowControl w:val="0"/>
              <w:numPr>
                <w:ilvl w:val="0"/>
                <w:numId w:val="7"/>
              </w:numPr>
              <w:shd w:val="clear" w:color="auto" w:fill="auto"/>
              <w:tabs>
                <w:tab w:val="left" w:pos="206"/>
              </w:tabs>
              <w:spacing w:before="0" w:after="0" w:line="326" w:lineRule="exact"/>
              <w:ind w:left="0" w:right="0" w:firstLine="0"/>
              <w:jc w:val="left"/>
              <w:rPr>
                <w:sz w:val="20"/>
                <w:szCs w:val="20"/>
              </w:rPr>
            </w:pPr>
            <w:r>
              <w:rPr>
                <w:color w:val="000000"/>
                <w:spacing w:val="0"/>
                <w:w w:val="100"/>
                <w:position w:val="0"/>
                <w:sz w:val="20"/>
                <w:szCs w:val="20"/>
              </w:rPr>
              <w:t>心功能</w:t>
            </w:r>
            <w:r>
              <w:rPr>
                <w:color w:val="000000"/>
                <w:spacing w:val="0"/>
                <w:w w:val="100"/>
                <w:position w:val="0"/>
                <w:sz w:val="20"/>
                <w:szCs w:val="20"/>
                <w:lang w:val="en-US" w:eastAsia="en-US" w:bidi="en-US"/>
              </w:rPr>
              <w:t>NYHA</w:t>
            </w:r>
            <w:r>
              <w:rPr>
                <w:color w:val="000000"/>
                <w:spacing w:val="0"/>
                <w:w w:val="100"/>
                <w:position w:val="0"/>
                <w:sz w:val="20"/>
                <w:szCs w:val="20"/>
              </w:rPr>
              <w:t>分级II级以上(含II级，患者体力活动受轻度及轻度以上的限制)。</w:t>
            </w:r>
          </w:p>
          <w:p>
            <w:pPr>
              <w:pStyle w:val="29"/>
              <w:widowControl w:val="0"/>
              <w:numPr>
                <w:ilvl w:val="0"/>
                <w:numId w:val="7"/>
              </w:numPr>
              <w:shd w:val="clear" w:color="auto" w:fill="auto"/>
              <w:tabs>
                <w:tab w:val="left" w:pos="202"/>
              </w:tabs>
              <w:spacing w:before="0" w:after="0" w:line="326" w:lineRule="exact"/>
              <w:ind w:left="0" w:right="0" w:firstLine="0"/>
              <w:jc w:val="left"/>
              <w:rPr>
                <w:sz w:val="20"/>
                <w:szCs w:val="20"/>
              </w:rPr>
            </w:pPr>
            <w:r>
              <w:rPr>
                <w:color w:val="000000"/>
                <w:spacing w:val="0"/>
                <w:w w:val="100"/>
                <w:position w:val="0"/>
                <w:sz w:val="20"/>
                <w:szCs w:val="20"/>
              </w:rPr>
              <w:t>影像学检查异常</w:t>
            </w:r>
          </w:p>
          <w:p>
            <w:pPr>
              <w:pStyle w:val="29"/>
              <w:widowControl w:val="0"/>
              <w:shd w:val="clear" w:color="auto" w:fill="auto"/>
              <w:spacing w:before="0" w:after="0" w:line="326" w:lineRule="exact"/>
              <w:ind w:left="0" w:right="0" w:firstLine="0"/>
              <w:jc w:val="left"/>
              <w:rPr>
                <w:sz w:val="20"/>
                <w:szCs w:val="20"/>
              </w:rPr>
            </w:pPr>
            <w:r>
              <w:rPr>
                <w:color w:val="000000"/>
                <w:spacing w:val="0"/>
                <w:w w:val="100"/>
                <w:position w:val="0"/>
                <w:sz w:val="20"/>
                <w:szCs w:val="20"/>
              </w:rPr>
              <w:t>符合上述条件，经二级及以上医疗机构确诊。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14</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22" w:lineRule="exact"/>
              <w:ind w:left="0" w:right="0" w:firstLine="0"/>
              <w:jc w:val="center"/>
              <w:rPr>
                <w:sz w:val="20"/>
                <w:szCs w:val="20"/>
              </w:rPr>
            </w:pPr>
            <w:r>
              <w:rPr>
                <w:color w:val="000000"/>
                <w:spacing w:val="0"/>
                <w:w w:val="100"/>
                <w:position w:val="0"/>
                <w:sz w:val="20"/>
                <w:szCs w:val="20"/>
              </w:rPr>
              <w:t>尿毒症透析治疗</w:t>
            </w:r>
          </w:p>
        </w:tc>
        <w:tc>
          <w:tcPr>
            <w:tcW w:w="7382"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80" w:line="240" w:lineRule="auto"/>
              <w:ind w:left="0" w:right="0" w:firstLine="0"/>
              <w:jc w:val="left"/>
              <w:rPr>
                <w:sz w:val="20"/>
                <w:szCs w:val="20"/>
              </w:rPr>
            </w:pPr>
            <w:r>
              <w:rPr>
                <w:color w:val="000000"/>
                <w:spacing w:val="0"/>
                <w:w w:val="100"/>
                <w:position w:val="0"/>
                <w:sz w:val="20"/>
                <w:szCs w:val="20"/>
              </w:rPr>
              <w:t>1 .各种原因造成慢性肾脏损伤，并出现肾功能异常达到尿毒症期；</w:t>
            </w:r>
          </w:p>
          <w:p>
            <w:pPr>
              <w:pStyle w:val="29"/>
              <w:widowControl w:val="0"/>
              <w:numPr>
                <w:ilvl w:val="0"/>
                <w:numId w:val="8"/>
              </w:numPr>
              <w:shd w:val="clear" w:color="auto" w:fill="auto"/>
              <w:tabs>
                <w:tab w:val="left" w:pos="211"/>
              </w:tabs>
              <w:spacing w:before="0" w:after="80" w:line="240" w:lineRule="auto"/>
              <w:ind w:left="0" w:right="0" w:firstLine="0"/>
              <w:jc w:val="left"/>
              <w:rPr>
                <w:sz w:val="20"/>
                <w:szCs w:val="20"/>
              </w:rPr>
            </w:pPr>
            <w:r>
              <w:rPr>
                <w:color w:val="000000"/>
                <w:spacing w:val="0"/>
                <w:w w:val="100"/>
                <w:position w:val="0"/>
                <w:sz w:val="20"/>
                <w:szCs w:val="20"/>
              </w:rPr>
              <w:t>需长期透析治疗；</w:t>
            </w:r>
          </w:p>
          <w:p>
            <w:pPr>
              <w:pStyle w:val="29"/>
              <w:widowControl w:val="0"/>
              <w:numPr>
                <w:ilvl w:val="0"/>
                <w:numId w:val="0"/>
              </w:numPr>
              <w:shd w:val="clear" w:color="auto" w:fill="auto"/>
              <w:tabs>
                <w:tab w:val="left" w:pos="197"/>
              </w:tabs>
              <w:spacing w:before="0" w:after="80" w:line="240" w:lineRule="auto"/>
              <w:ind w:leftChars="0" w:right="0" w:rightChars="0"/>
              <w:jc w:val="left"/>
              <w:rPr>
                <w:sz w:val="20"/>
                <w:szCs w:val="20"/>
              </w:rPr>
            </w:pPr>
            <w:r>
              <w:rPr>
                <w:rFonts w:hint="eastAsia"/>
                <w:color w:val="000000"/>
                <w:spacing w:val="0"/>
                <w:w w:val="100"/>
                <w:position w:val="0"/>
                <w:sz w:val="20"/>
                <w:szCs w:val="20"/>
                <w:lang w:val="en-US" w:eastAsia="zh-CN"/>
              </w:rPr>
              <w:t>3.</w:t>
            </w:r>
            <w:r>
              <w:rPr>
                <w:color w:val="000000"/>
                <w:spacing w:val="0"/>
                <w:w w:val="100"/>
                <w:position w:val="0"/>
                <w:sz w:val="20"/>
                <w:szCs w:val="20"/>
              </w:rPr>
              <w:t>有二级及以上医疗机构出具的病历资料；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258"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15</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慢性肾脏病</w:t>
            </w:r>
          </w:p>
        </w:tc>
        <w:tc>
          <w:tcPr>
            <w:tcW w:w="7382"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9"/>
              </w:numPr>
              <w:shd w:val="clear" w:color="auto" w:fill="auto"/>
              <w:tabs>
                <w:tab w:val="left" w:pos="216"/>
              </w:tabs>
              <w:spacing w:before="0" w:after="0" w:line="302" w:lineRule="exact"/>
              <w:ind w:left="0" w:right="0" w:firstLine="0"/>
              <w:jc w:val="left"/>
              <w:rPr>
                <w:sz w:val="20"/>
                <w:szCs w:val="20"/>
              </w:rPr>
            </w:pPr>
            <w:r>
              <w:rPr>
                <w:color w:val="000000"/>
                <w:spacing w:val="0"/>
                <w:w w:val="100"/>
                <w:position w:val="0"/>
                <w:sz w:val="20"/>
                <w:szCs w:val="20"/>
              </w:rPr>
              <w:t>慢性肾脏损伤病程超过三个月，相应的临床检查报告包括血、尿影像学或病理学检查异常；</w:t>
            </w:r>
          </w:p>
          <w:p>
            <w:pPr>
              <w:pStyle w:val="29"/>
              <w:widowControl w:val="0"/>
              <w:numPr>
                <w:ilvl w:val="0"/>
                <w:numId w:val="9"/>
              </w:numPr>
              <w:shd w:val="clear" w:color="auto" w:fill="auto"/>
              <w:tabs>
                <w:tab w:val="left" w:pos="206"/>
              </w:tabs>
              <w:spacing w:before="0" w:after="0" w:line="302" w:lineRule="exact"/>
              <w:ind w:left="0" w:right="0" w:firstLine="0"/>
              <w:jc w:val="left"/>
              <w:rPr>
                <w:sz w:val="20"/>
                <w:szCs w:val="20"/>
              </w:rPr>
            </w:pPr>
            <w:r>
              <w:rPr>
                <w:color w:val="000000"/>
                <w:spacing w:val="0"/>
                <w:w w:val="100"/>
                <w:position w:val="0"/>
                <w:sz w:val="20"/>
                <w:szCs w:val="20"/>
                <w:lang w:val="en-US" w:eastAsia="en-US" w:bidi="en-US"/>
              </w:rPr>
              <w:t xml:space="preserve">GFR </w:t>
            </w:r>
            <w:r>
              <w:rPr>
                <w:color w:val="000000"/>
                <w:spacing w:val="0"/>
                <w:w w:val="100"/>
                <w:position w:val="0"/>
                <w:sz w:val="20"/>
                <w:szCs w:val="20"/>
              </w:rPr>
              <w:t xml:space="preserve">&lt; </w:t>
            </w:r>
            <w:r>
              <w:rPr>
                <w:color w:val="000000"/>
                <w:spacing w:val="0"/>
                <w:w w:val="100"/>
                <w:position w:val="0"/>
                <w:sz w:val="20"/>
                <w:szCs w:val="20"/>
                <w:lang w:val="en-US" w:eastAsia="en-US" w:bidi="en-US"/>
              </w:rPr>
              <w:t>60ml/</w:t>
            </w:r>
            <w:r>
              <w:rPr>
                <w:color w:val="000000"/>
                <w:spacing w:val="0"/>
                <w:w w:val="100"/>
                <w:position w:val="0"/>
                <w:sz w:val="20"/>
                <w:szCs w:val="20"/>
              </w:rPr>
              <w:t>分且病程超过三个月;</w:t>
            </w:r>
          </w:p>
          <w:p>
            <w:pPr>
              <w:pStyle w:val="29"/>
              <w:widowControl w:val="0"/>
              <w:shd w:val="clear" w:color="auto" w:fill="auto"/>
              <w:spacing w:before="0" w:after="0" w:line="302" w:lineRule="exact"/>
              <w:ind w:left="0" w:right="0" w:firstLine="0"/>
              <w:jc w:val="left"/>
              <w:rPr>
                <w:sz w:val="20"/>
                <w:szCs w:val="20"/>
              </w:rPr>
            </w:pPr>
            <w:r>
              <w:rPr>
                <w:color w:val="000000"/>
                <w:spacing w:val="0"/>
                <w:w w:val="100"/>
                <w:position w:val="0"/>
                <w:sz w:val="20"/>
                <w:szCs w:val="20"/>
              </w:rPr>
              <w:t>经二级及以上医疗机构诊断并符合上述条件之一者。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634"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16</w:t>
            </w:r>
          </w:p>
        </w:tc>
        <w:tc>
          <w:tcPr>
            <w:tcW w:w="1272"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肾病综合征</w:t>
            </w:r>
          </w:p>
        </w:tc>
        <w:tc>
          <w:tcPr>
            <w:tcW w:w="7382"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left"/>
              <w:rPr>
                <w:rFonts w:hint="eastAsia" w:eastAsia="宋体"/>
                <w:sz w:val="20"/>
                <w:szCs w:val="20"/>
                <w:lang w:eastAsia="zh-CN"/>
              </w:rPr>
            </w:pPr>
            <w:r>
              <w:rPr>
                <w:color w:val="000000"/>
                <w:spacing w:val="0"/>
                <w:w w:val="100"/>
                <w:position w:val="0"/>
                <w:sz w:val="20"/>
                <w:szCs w:val="20"/>
              </w:rPr>
              <w:t>经二级及以上医疗机构确诊为肾病综合征</w:t>
            </w:r>
            <w:r>
              <w:rPr>
                <w:rFonts w:hint="eastAsia"/>
                <w:color w:val="000000"/>
                <w:spacing w:val="0"/>
                <w:w w:val="100"/>
                <w:position w:val="0"/>
                <w:sz w:val="20"/>
                <w:szCs w:val="20"/>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928" w:hRule="exact"/>
          <w:jc w:val="center"/>
        </w:trPr>
        <w:tc>
          <w:tcPr>
            <w:tcW w:w="691"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17</w:t>
            </w:r>
          </w:p>
        </w:tc>
        <w:tc>
          <w:tcPr>
            <w:tcW w:w="1272"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331" w:lineRule="exact"/>
              <w:ind w:left="0" w:right="0" w:firstLine="0"/>
              <w:jc w:val="center"/>
              <w:rPr>
                <w:sz w:val="20"/>
                <w:szCs w:val="20"/>
              </w:rPr>
            </w:pPr>
            <w:r>
              <w:rPr>
                <w:color w:val="000000"/>
                <w:spacing w:val="0"/>
                <w:w w:val="100"/>
                <w:position w:val="0"/>
                <w:sz w:val="20"/>
                <w:szCs w:val="20"/>
              </w:rPr>
              <w:t>重症肌无力</w:t>
            </w:r>
          </w:p>
        </w:tc>
        <w:tc>
          <w:tcPr>
            <w:tcW w:w="7382" w:type="dxa"/>
            <w:tcBorders>
              <w:top w:val="single" w:color="auto" w:sz="4" w:space="0"/>
              <w:left w:val="single" w:color="auto" w:sz="4" w:space="0"/>
              <w:bottom w:val="single" w:color="auto" w:sz="4" w:space="0"/>
              <w:right w:val="single" w:color="auto" w:sz="4" w:space="0"/>
            </w:tcBorders>
            <w:shd w:val="clear" w:color="auto" w:fill="FFFFFF"/>
            <w:vAlign w:val="top"/>
          </w:tcPr>
          <w:p>
            <w:pPr>
              <w:pStyle w:val="29"/>
              <w:widowControl w:val="0"/>
              <w:numPr>
                <w:ilvl w:val="0"/>
                <w:numId w:val="10"/>
              </w:numPr>
              <w:shd w:val="clear" w:color="auto" w:fill="auto"/>
              <w:tabs>
                <w:tab w:val="left" w:pos="206"/>
              </w:tabs>
              <w:spacing w:before="0" w:after="0" w:line="305" w:lineRule="exact"/>
              <w:ind w:left="0" w:right="0" w:firstLine="0"/>
              <w:jc w:val="left"/>
              <w:rPr>
                <w:sz w:val="20"/>
                <w:szCs w:val="20"/>
              </w:rPr>
            </w:pPr>
            <w:r>
              <w:rPr>
                <w:color w:val="000000"/>
                <w:spacing w:val="0"/>
                <w:w w:val="100"/>
                <w:position w:val="0"/>
                <w:sz w:val="20"/>
                <w:szCs w:val="20"/>
              </w:rPr>
              <w:t>必要条件</w:t>
            </w:r>
          </w:p>
          <w:p>
            <w:pPr>
              <w:pStyle w:val="29"/>
              <w:widowControl w:val="0"/>
              <w:shd w:val="clear" w:color="auto" w:fill="auto"/>
              <w:spacing w:before="0" w:after="0" w:line="305" w:lineRule="exact"/>
              <w:ind w:left="0" w:right="0" w:firstLine="0"/>
              <w:jc w:val="left"/>
              <w:rPr>
                <w:sz w:val="20"/>
                <w:szCs w:val="20"/>
              </w:rPr>
            </w:pPr>
            <w:r>
              <w:rPr>
                <w:color w:val="000000"/>
                <w:spacing w:val="0"/>
                <w:w w:val="100"/>
                <w:position w:val="0"/>
                <w:sz w:val="20"/>
                <w:szCs w:val="20"/>
              </w:rPr>
              <w:t>具有典型重症肌无力临床特征(波动性肌无力)，经二级及以上医院临床确诊为重症肌无力。</w:t>
            </w:r>
          </w:p>
          <w:p>
            <w:pPr>
              <w:pStyle w:val="29"/>
              <w:widowControl w:val="0"/>
              <w:numPr>
                <w:ilvl w:val="0"/>
                <w:numId w:val="10"/>
              </w:numPr>
              <w:shd w:val="clear" w:color="auto" w:fill="auto"/>
              <w:tabs>
                <w:tab w:val="left" w:pos="202"/>
              </w:tabs>
              <w:spacing w:before="0" w:after="0" w:line="305" w:lineRule="exact"/>
              <w:ind w:left="0" w:right="0" w:firstLine="0"/>
              <w:jc w:val="left"/>
              <w:rPr>
                <w:sz w:val="20"/>
                <w:szCs w:val="20"/>
              </w:rPr>
            </w:pPr>
            <w:r>
              <w:rPr>
                <w:color w:val="000000"/>
                <w:spacing w:val="0"/>
                <w:w w:val="100"/>
                <w:position w:val="0"/>
                <w:sz w:val="20"/>
                <w:szCs w:val="20"/>
              </w:rPr>
              <w:t>参考条件</w:t>
            </w:r>
          </w:p>
          <w:p>
            <w:pPr>
              <w:pStyle w:val="29"/>
              <w:widowControl w:val="0"/>
              <w:numPr>
                <w:ilvl w:val="0"/>
                <w:numId w:val="11"/>
              </w:numPr>
              <w:shd w:val="clear" w:color="auto" w:fill="auto"/>
              <w:tabs>
                <w:tab w:val="left" w:pos="587"/>
              </w:tabs>
              <w:spacing w:before="0" w:after="0" w:line="305" w:lineRule="exact"/>
              <w:ind w:left="0" w:right="0" w:firstLine="160"/>
              <w:jc w:val="left"/>
              <w:rPr>
                <w:sz w:val="20"/>
                <w:szCs w:val="20"/>
              </w:rPr>
            </w:pPr>
            <w:r>
              <w:rPr>
                <w:color w:val="000000"/>
                <w:spacing w:val="0"/>
                <w:w w:val="100"/>
                <w:position w:val="0"/>
                <w:sz w:val="20"/>
                <w:szCs w:val="20"/>
              </w:rPr>
              <w:t>新斯的明(或腾喜龙)试验：阳性</w:t>
            </w:r>
          </w:p>
          <w:p>
            <w:pPr>
              <w:pStyle w:val="29"/>
              <w:widowControl w:val="0"/>
              <w:numPr>
                <w:ilvl w:val="0"/>
                <w:numId w:val="11"/>
              </w:numPr>
              <w:shd w:val="clear" w:color="auto" w:fill="auto"/>
              <w:tabs>
                <w:tab w:val="left" w:pos="611"/>
              </w:tabs>
              <w:spacing w:before="0" w:after="0" w:line="305" w:lineRule="exact"/>
              <w:ind w:left="0" w:right="0" w:firstLine="160"/>
              <w:jc w:val="left"/>
              <w:rPr>
                <w:sz w:val="20"/>
                <w:szCs w:val="20"/>
              </w:rPr>
            </w:pPr>
            <w:r>
              <w:rPr>
                <w:color w:val="000000"/>
                <w:spacing w:val="0"/>
                <w:w w:val="100"/>
                <w:position w:val="0"/>
                <w:sz w:val="20"/>
                <w:szCs w:val="20"/>
              </w:rPr>
              <w:t>电生理学检查：</w:t>
            </w:r>
            <w:r>
              <w:rPr>
                <w:color w:val="000000"/>
                <w:spacing w:val="0"/>
                <w:w w:val="100"/>
                <w:position w:val="0"/>
                <w:sz w:val="20"/>
                <w:szCs w:val="20"/>
                <w:lang w:val="en-US" w:eastAsia="en-US" w:bidi="en-US"/>
              </w:rPr>
              <w:t>RNS</w:t>
            </w:r>
            <w:r>
              <w:rPr>
                <w:color w:val="000000"/>
                <w:spacing w:val="0"/>
                <w:w w:val="100"/>
                <w:position w:val="0"/>
                <w:sz w:val="20"/>
                <w:szCs w:val="20"/>
              </w:rPr>
              <w:t>衰减10%</w:t>
            </w:r>
          </w:p>
          <w:p>
            <w:pPr>
              <w:pStyle w:val="29"/>
              <w:widowControl w:val="0"/>
              <w:numPr>
                <w:ilvl w:val="0"/>
                <w:numId w:val="11"/>
              </w:numPr>
              <w:shd w:val="clear" w:color="auto" w:fill="auto"/>
              <w:tabs>
                <w:tab w:val="left" w:pos="538"/>
              </w:tabs>
              <w:spacing w:before="0" w:after="0" w:line="305" w:lineRule="exact"/>
              <w:ind w:left="0" w:right="0" w:firstLine="160"/>
              <w:jc w:val="left"/>
              <w:rPr>
                <w:sz w:val="20"/>
                <w:szCs w:val="20"/>
              </w:rPr>
            </w:pPr>
            <w:r>
              <w:rPr>
                <w:color w:val="000000"/>
                <w:spacing w:val="0"/>
                <w:w w:val="100"/>
                <w:position w:val="0"/>
                <w:sz w:val="20"/>
                <w:szCs w:val="20"/>
              </w:rPr>
              <w:t>免疫学检测：</w:t>
            </w:r>
            <w:r>
              <w:rPr>
                <w:color w:val="000000"/>
                <w:spacing w:val="0"/>
                <w:w w:val="100"/>
                <w:position w:val="0"/>
                <w:sz w:val="20"/>
                <w:szCs w:val="20"/>
                <w:lang w:val="en-US" w:eastAsia="en-US" w:bidi="en-US"/>
              </w:rPr>
              <w:t>AchR-Ab</w:t>
            </w:r>
            <w:r>
              <w:rPr>
                <w:color w:val="000000"/>
                <w:spacing w:val="0"/>
                <w:w w:val="100"/>
                <w:position w:val="0"/>
                <w:sz w:val="20"/>
                <w:szCs w:val="20"/>
              </w:rPr>
              <w:t>或其他相关性抗体</w:t>
            </w:r>
            <w:r>
              <w:rPr>
                <w:color w:val="000000"/>
                <w:spacing w:val="0"/>
                <w:w w:val="100"/>
                <w:position w:val="0"/>
                <w:sz w:val="20"/>
                <w:szCs w:val="20"/>
                <w:lang w:val="en-US" w:eastAsia="en-US" w:bidi="en-US"/>
              </w:rPr>
              <w:t>MuSK-Ab. RyR-Ab、Titin-Ab</w:t>
            </w:r>
            <w:r>
              <w:rPr>
                <w:rFonts w:hint="eastAsia"/>
                <w:color w:val="000000"/>
                <w:spacing w:val="0"/>
                <w:w w:val="100"/>
                <w:position w:val="0"/>
                <w:sz w:val="20"/>
                <w:szCs w:val="20"/>
                <w:lang w:val="en-US" w:eastAsia="zh-CN" w:bidi="en-US"/>
              </w:rPr>
              <w:t>、</w:t>
            </w:r>
            <w:r>
              <w:rPr>
                <w:color w:val="000000"/>
                <w:spacing w:val="0"/>
                <w:w w:val="100"/>
                <w:position w:val="0"/>
                <w:sz w:val="20"/>
                <w:szCs w:val="20"/>
                <w:lang w:val="en-US" w:eastAsia="en-US" w:bidi="en-US"/>
              </w:rPr>
              <w:t>LRP4-Ab</w:t>
            </w:r>
            <w:r>
              <w:rPr>
                <w:color w:val="000000"/>
                <w:spacing w:val="0"/>
                <w:w w:val="100"/>
                <w:position w:val="0"/>
                <w:sz w:val="20"/>
                <w:szCs w:val="20"/>
              </w:rPr>
              <w:t>滴度升高</w:t>
            </w:r>
            <w:r>
              <w:rPr>
                <w:rFonts w:hint="eastAsia"/>
                <w:color w:val="000000"/>
                <w:spacing w:val="0"/>
                <w:w w:val="100"/>
                <w:position w:val="0"/>
                <w:sz w:val="20"/>
                <w:szCs w:val="20"/>
                <w:lang w:eastAsia="zh-CN"/>
              </w:rPr>
              <w:t>。</w:t>
            </w:r>
          </w:p>
          <w:p>
            <w:pPr>
              <w:pStyle w:val="29"/>
              <w:widowControl w:val="0"/>
              <w:shd w:val="clear" w:color="auto" w:fill="auto"/>
              <w:spacing w:before="0" w:after="0" w:line="305" w:lineRule="exact"/>
              <w:ind w:left="0" w:right="0" w:firstLine="0"/>
              <w:jc w:val="left"/>
              <w:rPr>
                <w:sz w:val="20"/>
                <w:szCs w:val="20"/>
              </w:rPr>
            </w:pPr>
            <w:r>
              <w:rPr>
                <w:color w:val="000000"/>
                <w:spacing w:val="0"/>
                <w:w w:val="100"/>
                <w:position w:val="0"/>
                <w:sz w:val="20"/>
                <w:szCs w:val="20"/>
              </w:rPr>
              <w:t>准入标准：必要条件一条+参考条件一条</w:t>
            </w:r>
          </w:p>
        </w:tc>
      </w:tr>
    </w:tbl>
    <w:p>
      <w:pPr>
        <w:widowControl w:val="0"/>
        <w:spacing w:line="1" w:lineRule="exact"/>
      </w:pPr>
      <w:r>
        <w:br w:type="page"/>
      </w:r>
    </w:p>
    <w:tbl>
      <w:tblPr>
        <w:tblStyle w:val="15"/>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91"/>
        <w:gridCol w:w="1277"/>
        <w:gridCol w:w="73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085"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18</w:t>
            </w:r>
          </w:p>
        </w:tc>
        <w:tc>
          <w:tcPr>
            <w:tcW w:w="127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left"/>
              <w:rPr>
                <w:sz w:val="20"/>
                <w:szCs w:val="20"/>
              </w:rPr>
            </w:pPr>
            <w:r>
              <w:rPr>
                <w:color w:val="000000"/>
                <w:spacing w:val="0"/>
                <w:w w:val="100"/>
                <w:position w:val="0"/>
                <w:sz w:val="20"/>
                <w:szCs w:val="20"/>
              </w:rPr>
              <w:t xml:space="preserve">脑出血（恢 </w:t>
            </w:r>
            <w:r>
              <w:rPr>
                <w:rFonts w:hint="eastAsia"/>
                <w:color w:val="000000"/>
                <w:spacing w:val="0"/>
                <w:w w:val="100"/>
                <w:position w:val="0"/>
                <w:sz w:val="20"/>
                <w:szCs w:val="20"/>
                <w:lang w:val="en-US" w:eastAsia="zh-CN"/>
              </w:rPr>
              <w:t>-</w:t>
            </w:r>
            <w:r>
              <w:rPr>
                <w:color w:val="000000"/>
                <w:spacing w:val="0"/>
                <w:w w:val="100"/>
                <w:position w:val="0"/>
                <w:sz w:val="20"/>
                <w:szCs w:val="20"/>
              </w:rPr>
              <w:t>复期、后遗</w:t>
            </w:r>
          </w:p>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症期）</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numPr>
                <w:ilvl w:val="0"/>
                <w:numId w:val="12"/>
              </w:numPr>
              <w:shd w:val="clear" w:color="auto" w:fill="auto"/>
              <w:tabs>
                <w:tab w:val="left" w:pos="202"/>
              </w:tabs>
              <w:spacing w:before="0" w:after="60" w:line="240" w:lineRule="auto"/>
              <w:ind w:left="0" w:right="0" w:firstLine="0"/>
              <w:jc w:val="left"/>
              <w:rPr>
                <w:sz w:val="20"/>
                <w:szCs w:val="20"/>
              </w:rPr>
            </w:pPr>
            <w:r>
              <w:rPr>
                <w:color w:val="000000"/>
                <w:spacing w:val="0"/>
                <w:w w:val="100"/>
                <w:position w:val="0"/>
                <w:sz w:val="20"/>
                <w:szCs w:val="20"/>
              </w:rPr>
              <w:t>有高血压、脑出血病史且需要长期治疗的。</w:t>
            </w:r>
          </w:p>
          <w:p>
            <w:pPr>
              <w:pStyle w:val="29"/>
              <w:widowControl w:val="0"/>
              <w:numPr>
                <w:ilvl w:val="0"/>
                <w:numId w:val="12"/>
              </w:numPr>
              <w:shd w:val="clear" w:color="auto" w:fill="auto"/>
              <w:tabs>
                <w:tab w:val="left" w:pos="202"/>
              </w:tabs>
              <w:spacing w:before="0" w:after="60" w:line="240" w:lineRule="auto"/>
              <w:ind w:left="0" w:right="0" w:firstLine="0"/>
              <w:jc w:val="left"/>
              <w:rPr>
                <w:sz w:val="20"/>
                <w:szCs w:val="20"/>
              </w:rPr>
            </w:pPr>
            <w:r>
              <w:rPr>
                <w:color w:val="000000"/>
                <w:spacing w:val="0"/>
                <w:w w:val="100"/>
                <w:position w:val="0"/>
                <w:sz w:val="20"/>
                <w:szCs w:val="20"/>
              </w:rPr>
              <w:t>脑</w:t>
            </w:r>
            <w:r>
              <w:rPr>
                <w:color w:val="000000"/>
                <w:spacing w:val="0"/>
                <w:w w:val="100"/>
                <w:position w:val="0"/>
                <w:sz w:val="20"/>
                <w:szCs w:val="20"/>
                <w:lang w:val="en-US" w:eastAsia="en-US" w:bidi="en-US"/>
              </w:rPr>
              <w:t>CT</w:t>
            </w:r>
            <w:r>
              <w:rPr>
                <w:color w:val="000000"/>
                <w:spacing w:val="0"/>
                <w:w w:val="100"/>
                <w:position w:val="0"/>
                <w:sz w:val="20"/>
                <w:szCs w:val="20"/>
              </w:rPr>
              <w:t>或磁共振提示脑出血。</w:t>
            </w:r>
          </w:p>
          <w:p>
            <w:pPr>
              <w:pStyle w:val="29"/>
              <w:widowControl w:val="0"/>
              <w:numPr>
                <w:ilvl w:val="0"/>
                <w:numId w:val="12"/>
              </w:numPr>
              <w:shd w:val="clear" w:color="auto" w:fill="auto"/>
              <w:tabs>
                <w:tab w:val="left" w:pos="206"/>
              </w:tabs>
              <w:spacing w:before="0" w:after="60" w:line="240" w:lineRule="auto"/>
              <w:ind w:left="0" w:right="0" w:firstLine="0"/>
              <w:jc w:val="left"/>
              <w:rPr>
                <w:sz w:val="20"/>
                <w:szCs w:val="20"/>
              </w:rPr>
            </w:pPr>
            <w:r>
              <w:rPr>
                <w:color w:val="000000"/>
                <w:spacing w:val="0"/>
                <w:w w:val="100"/>
                <w:position w:val="0"/>
                <w:sz w:val="20"/>
                <w:szCs w:val="20"/>
              </w:rPr>
              <w:t>有二级及以上医疗机构出具的住院病历。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061"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19</w:t>
            </w:r>
          </w:p>
        </w:tc>
        <w:tc>
          <w:tcPr>
            <w:tcW w:w="127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left"/>
              <w:rPr>
                <w:sz w:val="20"/>
                <w:szCs w:val="20"/>
              </w:rPr>
            </w:pPr>
            <w:r>
              <w:rPr>
                <w:color w:val="000000"/>
                <w:spacing w:val="0"/>
                <w:w w:val="100"/>
                <w:position w:val="0"/>
                <w:sz w:val="20"/>
                <w:szCs w:val="20"/>
              </w:rPr>
              <w:t>脑梗死（恢复期、后遗</w:t>
            </w:r>
          </w:p>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症期）</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numPr>
                <w:ilvl w:val="0"/>
                <w:numId w:val="13"/>
              </w:numPr>
              <w:shd w:val="clear" w:color="auto" w:fill="auto"/>
              <w:tabs>
                <w:tab w:val="left" w:pos="226"/>
              </w:tabs>
              <w:spacing w:before="0" w:after="0" w:line="317" w:lineRule="exact"/>
              <w:ind w:left="0" w:right="0" w:firstLine="0"/>
              <w:jc w:val="both"/>
              <w:rPr>
                <w:sz w:val="20"/>
                <w:szCs w:val="20"/>
              </w:rPr>
            </w:pPr>
            <w:r>
              <w:rPr>
                <w:color w:val="000000"/>
                <w:spacing w:val="0"/>
                <w:w w:val="100"/>
                <w:position w:val="0"/>
                <w:sz w:val="20"/>
                <w:szCs w:val="20"/>
              </w:rPr>
              <w:t>临床出现相应的脑部神经系统症状及体征，二级及以上医疗机构诊断为脑梗死（脑栓塞），住院治疗后仍遗有神经症状及体征需继续治疗的。</w:t>
            </w:r>
          </w:p>
          <w:p>
            <w:pPr>
              <w:pStyle w:val="29"/>
              <w:widowControl w:val="0"/>
              <w:numPr>
                <w:ilvl w:val="0"/>
                <w:numId w:val="13"/>
              </w:numPr>
              <w:shd w:val="clear" w:color="auto" w:fill="auto"/>
              <w:tabs>
                <w:tab w:val="left" w:pos="211"/>
              </w:tabs>
              <w:spacing w:before="0" w:after="0" w:line="317" w:lineRule="exact"/>
              <w:ind w:left="0" w:right="0" w:firstLine="0"/>
              <w:jc w:val="left"/>
              <w:rPr>
                <w:sz w:val="20"/>
                <w:szCs w:val="20"/>
              </w:rPr>
            </w:pPr>
            <w:r>
              <w:rPr>
                <w:color w:val="000000"/>
                <w:spacing w:val="0"/>
                <w:w w:val="100"/>
                <w:position w:val="0"/>
                <w:sz w:val="20"/>
                <w:szCs w:val="20"/>
              </w:rPr>
              <w:t>影像学检查提示脑梗死（脑栓塞）灶或颅内、颅外血管中重度狭窄。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20</w:t>
            </w:r>
          </w:p>
        </w:tc>
        <w:tc>
          <w:tcPr>
            <w:tcW w:w="127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4" w:lineRule="exact"/>
              <w:ind w:left="0" w:right="0" w:firstLine="0"/>
              <w:jc w:val="center"/>
              <w:rPr>
                <w:sz w:val="20"/>
                <w:szCs w:val="20"/>
              </w:rPr>
            </w:pPr>
            <w:r>
              <w:rPr>
                <w:color w:val="000000"/>
                <w:spacing w:val="0"/>
                <w:w w:val="100"/>
                <w:position w:val="0"/>
                <w:sz w:val="20"/>
                <w:szCs w:val="20"/>
              </w:rPr>
              <w:t>帕金森病及帕金森 综合征</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312" w:lineRule="exact"/>
              <w:ind w:left="0" w:right="0" w:firstLine="0"/>
              <w:jc w:val="both"/>
              <w:rPr>
                <w:sz w:val="20"/>
                <w:szCs w:val="20"/>
              </w:rPr>
            </w:pPr>
            <w:r>
              <w:rPr>
                <w:color w:val="000000"/>
                <w:spacing w:val="0"/>
                <w:w w:val="100"/>
                <w:position w:val="0"/>
                <w:sz w:val="20"/>
                <w:szCs w:val="20"/>
              </w:rPr>
              <w:t>出现运动迟缓、静止性震颤、肌强直、姿势平衡障碍等临床表现，经二级及以上医疗机构神经专科确诊为帕金森病及帕金森综合症。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89"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21</w:t>
            </w:r>
          </w:p>
        </w:tc>
        <w:tc>
          <w:tcPr>
            <w:tcW w:w="127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癫痫</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14"/>
              </w:numPr>
              <w:shd w:val="clear" w:color="auto" w:fill="auto"/>
              <w:tabs>
                <w:tab w:val="left" w:pos="202"/>
              </w:tabs>
              <w:spacing w:before="0" w:after="60" w:line="240" w:lineRule="auto"/>
              <w:ind w:left="0" w:right="0" w:firstLine="0"/>
              <w:jc w:val="left"/>
              <w:rPr>
                <w:sz w:val="20"/>
                <w:szCs w:val="20"/>
              </w:rPr>
            </w:pPr>
            <w:r>
              <w:rPr>
                <w:color w:val="000000"/>
                <w:spacing w:val="0"/>
                <w:w w:val="100"/>
                <w:position w:val="0"/>
                <w:sz w:val="20"/>
                <w:szCs w:val="20"/>
              </w:rPr>
              <w:t>符合癫痫的临床表现并有明确的诊断。</w:t>
            </w:r>
          </w:p>
          <w:p>
            <w:pPr>
              <w:pStyle w:val="29"/>
              <w:widowControl w:val="0"/>
              <w:numPr>
                <w:ilvl w:val="0"/>
                <w:numId w:val="14"/>
              </w:numPr>
              <w:shd w:val="clear" w:color="auto" w:fill="auto"/>
              <w:tabs>
                <w:tab w:val="left" w:pos="206"/>
              </w:tabs>
              <w:spacing w:before="0" w:after="60" w:line="240" w:lineRule="auto"/>
              <w:ind w:left="0" w:right="0" w:firstLine="0"/>
              <w:jc w:val="left"/>
              <w:rPr>
                <w:sz w:val="20"/>
                <w:szCs w:val="20"/>
              </w:rPr>
            </w:pPr>
            <w:r>
              <w:rPr>
                <w:color w:val="000000"/>
                <w:spacing w:val="0"/>
                <w:w w:val="100"/>
                <w:position w:val="0"/>
                <w:sz w:val="20"/>
                <w:szCs w:val="20"/>
              </w:rPr>
              <w:t>脑电图检查符合癫痫诊断标准（阴性结果不能排除癫痫诊断）。</w:t>
            </w:r>
          </w:p>
          <w:p>
            <w:pPr>
              <w:pStyle w:val="29"/>
              <w:widowControl w:val="0"/>
              <w:numPr>
                <w:ilvl w:val="0"/>
                <w:numId w:val="14"/>
              </w:numPr>
              <w:shd w:val="clear" w:color="auto" w:fill="auto"/>
              <w:tabs>
                <w:tab w:val="left" w:pos="202"/>
              </w:tabs>
              <w:spacing w:before="0" w:after="60" w:line="240" w:lineRule="auto"/>
              <w:ind w:left="0" w:right="0" w:firstLine="0"/>
              <w:jc w:val="left"/>
              <w:rPr>
                <w:sz w:val="20"/>
                <w:szCs w:val="20"/>
              </w:rPr>
            </w:pPr>
            <w:r>
              <w:rPr>
                <w:color w:val="000000"/>
                <w:spacing w:val="0"/>
                <w:w w:val="100"/>
                <w:position w:val="0"/>
                <w:sz w:val="20"/>
                <w:szCs w:val="20"/>
              </w:rPr>
              <w:t>有二级及以上医疗机构出具的治疗病历资料。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565"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22</w:t>
            </w:r>
          </w:p>
        </w:tc>
        <w:tc>
          <w:tcPr>
            <w:tcW w:w="127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运动神经元病</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15"/>
              </w:numPr>
              <w:shd w:val="clear" w:color="auto" w:fill="auto"/>
              <w:tabs>
                <w:tab w:val="left" w:pos="230"/>
              </w:tabs>
              <w:spacing w:before="0" w:after="0" w:line="310" w:lineRule="exact"/>
              <w:ind w:left="0" w:right="0" w:firstLine="0"/>
              <w:jc w:val="both"/>
              <w:rPr>
                <w:sz w:val="20"/>
                <w:szCs w:val="20"/>
              </w:rPr>
            </w:pPr>
            <w:r>
              <w:rPr>
                <w:color w:val="000000"/>
                <w:spacing w:val="0"/>
                <w:w w:val="100"/>
                <w:position w:val="0"/>
                <w:sz w:val="20"/>
                <w:szCs w:val="20"/>
              </w:rPr>
              <w:t>出现肌无力、肌萎缩或球麻痹等临床症状，经二级及以上医疗机构确诊为运动神经元病。</w:t>
            </w:r>
          </w:p>
          <w:p>
            <w:pPr>
              <w:pStyle w:val="29"/>
              <w:widowControl w:val="0"/>
              <w:numPr>
                <w:ilvl w:val="0"/>
                <w:numId w:val="15"/>
              </w:numPr>
              <w:shd w:val="clear" w:color="auto" w:fill="auto"/>
              <w:tabs>
                <w:tab w:val="left" w:pos="202"/>
              </w:tabs>
              <w:spacing w:before="0" w:after="0" w:line="310" w:lineRule="exact"/>
              <w:ind w:left="0" w:right="0" w:firstLine="0"/>
              <w:jc w:val="left"/>
              <w:rPr>
                <w:sz w:val="20"/>
                <w:szCs w:val="20"/>
              </w:rPr>
            </w:pPr>
            <w:r>
              <w:rPr>
                <w:color w:val="000000"/>
                <w:spacing w:val="0"/>
                <w:w w:val="100"/>
                <w:position w:val="0"/>
                <w:sz w:val="20"/>
                <w:szCs w:val="20"/>
              </w:rPr>
              <w:t>肌电图检查提示至少二个节段损害。</w:t>
            </w:r>
          </w:p>
          <w:p>
            <w:pPr>
              <w:pStyle w:val="29"/>
              <w:widowControl w:val="0"/>
              <w:shd w:val="clear" w:color="auto" w:fill="auto"/>
              <w:spacing w:before="0" w:after="0" w:line="310" w:lineRule="exact"/>
              <w:ind w:left="0" w:right="0" w:firstLine="0"/>
              <w:jc w:val="both"/>
              <w:rPr>
                <w:sz w:val="20"/>
                <w:szCs w:val="20"/>
              </w:rPr>
            </w:pPr>
            <w:r>
              <w:rPr>
                <w:color w:val="000000"/>
                <w:spacing w:val="0"/>
                <w:w w:val="100"/>
                <w:position w:val="0"/>
                <w:sz w:val="20"/>
                <w:szCs w:val="20"/>
              </w:rPr>
              <w:t>注：此病名包括肌萎缩性侧索硬化、进行性延髓麻痹、进行性脊肌萎缩症及原发性侧索硬化等。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565"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23</w:t>
            </w:r>
          </w:p>
        </w:tc>
        <w:tc>
          <w:tcPr>
            <w:tcW w:w="127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肝豆状核变形</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60" w:line="240" w:lineRule="auto"/>
              <w:ind w:left="0" w:right="0" w:firstLine="0"/>
              <w:jc w:val="both"/>
              <w:rPr>
                <w:sz w:val="20"/>
                <w:szCs w:val="20"/>
              </w:rPr>
            </w:pPr>
            <w:r>
              <w:rPr>
                <w:color w:val="000000"/>
                <w:spacing w:val="0"/>
                <w:w w:val="100"/>
                <w:position w:val="0"/>
                <w:sz w:val="20"/>
                <w:szCs w:val="20"/>
              </w:rPr>
              <w:t>符合以下条件：</w:t>
            </w:r>
          </w:p>
          <w:p>
            <w:pPr>
              <w:pStyle w:val="29"/>
              <w:widowControl w:val="0"/>
              <w:numPr>
                <w:ilvl w:val="0"/>
                <w:numId w:val="16"/>
              </w:numPr>
              <w:shd w:val="clear" w:color="auto" w:fill="auto"/>
              <w:tabs>
                <w:tab w:val="left" w:pos="202"/>
              </w:tabs>
              <w:spacing w:before="0" w:after="60" w:line="240" w:lineRule="auto"/>
              <w:ind w:left="0" w:right="0" w:firstLine="0"/>
              <w:jc w:val="left"/>
              <w:rPr>
                <w:sz w:val="20"/>
                <w:szCs w:val="20"/>
              </w:rPr>
            </w:pPr>
            <w:r>
              <w:rPr>
                <w:color w:val="000000"/>
                <w:spacing w:val="0"/>
                <w:w w:val="100"/>
                <w:position w:val="0"/>
                <w:sz w:val="20"/>
                <w:szCs w:val="20"/>
              </w:rPr>
              <w:t>有锥体外系、智力障碍、精神异常、肝病临床表现；（必要条件）</w:t>
            </w:r>
          </w:p>
          <w:p>
            <w:pPr>
              <w:pStyle w:val="29"/>
              <w:widowControl w:val="0"/>
              <w:numPr>
                <w:ilvl w:val="0"/>
                <w:numId w:val="16"/>
              </w:numPr>
              <w:shd w:val="clear" w:color="auto" w:fill="auto"/>
              <w:tabs>
                <w:tab w:val="left" w:pos="202"/>
              </w:tabs>
              <w:spacing w:before="0" w:after="0" w:line="240" w:lineRule="auto"/>
              <w:ind w:left="0" w:right="0" w:firstLine="0"/>
              <w:jc w:val="left"/>
              <w:rPr>
                <w:sz w:val="20"/>
                <w:szCs w:val="20"/>
              </w:rPr>
            </w:pPr>
            <w:r>
              <w:rPr>
                <w:color w:val="000000"/>
                <w:spacing w:val="0"/>
                <w:w w:val="100"/>
                <w:position w:val="0"/>
                <w:sz w:val="20"/>
                <w:szCs w:val="20"/>
              </w:rPr>
              <w:t>血清铜蓝蛋白</w:t>
            </w:r>
            <w:r>
              <w:rPr>
                <w:color w:val="000000"/>
                <w:spacing w:val="0"/>
                <w:w w:val="100"/>
                <w:position w:val="0"/>
                <w:sz w:val="20"/>
                <w:szCs w:val="20"/>
                <w:lang w:val="en-US" w:eastAsia="en-US" w:bidi="en-US"/>
              </w:rPr>
              <w:t>&lt;200mg/L（</w:t>
            </w:r>
            <w:r>
              <w:rPr>
                <w:color w:val="000000"/>
                <w:spacing w:val="0"/>
                <w:w w:val="100"/>
                <w:position w:val="0"/>
                <w:sz w:val="20"/>
                <w:szCs w:val="20"/>
              </w:rPr>
              <w:t>必要条件）</w:t>
            </w:r>
          </w:p>
          <w:p>
            <w:pPr>
              <w:pStyle w:val="29"/>
              <w:widowControl w:val="0"/>
              <w:numPr>
                <w:ilvl w:val="0"/>
                <w:numId w:val="16"/>
              </w:numPr>
              <w:shd w:val="clear" w:color="auto" w:fill="auto"/>
              <w:tabs>
                <w:tab w:val="left" w:pos="206"/>
              </w:tabs>
              <w:spacing w:before="0" w:after="60" w:line="336" w:lineRule="exact"/>
              <w:ind w:left="0" w:right="0" w:firstLine="0"/>
              <w:jc w:val="left"/>
              <w:rPr>
                <w:sz w:val="20"/>
                <w:szCs w:val="20"/>
              </w:rPr>
            </w:pPr>
            <w:r>
              <w:rPr>
                <w:color w:val="000000"/>
                <w:spacing w:val="0"/>
                <w:w w:val="100"/>
                <w:position w:val="0"/>
                <w:sz w:val="20"/>
                <w:szCs w:val="20"/>
              </w:rPr>
              <w:t>伴有头部</w:t>
            </w:r>
            <w:r>
              <w:rPr>
                <w:color w:val="000000"/>
                <w:spacing w:val="0"/>
                <w:w w:val="100"/>
                <w:position w:val="0"/>
                <w:sz w:val="20"/>
                <w:szCs w:val="20"/>
                <w:lang w:val="en-US" w:eastAsia="en-US" w:bidi="en-US"/>
              </w:rPr>
              <w:t>CT、MRI、</w:t>
            </w:r>
            <w:r>
              <w:rPr>
                <w:color w:val="000000"/>
                <w:spacing w:val="0"/>
                <w:w w:val="100"/>
                <w:position w:val="0"/>
                <w:sz w:val="20"/>
                <w:szCs w:val="20"/>
              </w:rPr>
              <w:t>肝功能等异常或</w:t>
            </w:r>
            <w:r>
              <w:rPr>
                <w:color w:val="000000"/>
                <w:spacing w:val="0"/>
                <w:w w:val="100"/>
                <w:position w:val="0"/>
                <w:sz w:val="20"/>
                <w:szCs w:val="20"/>
                <w:lang w:val="en-US" w:eastAsia="en-US" w:bidi="en-US"/>
              </w:rPr>
              <w:t>K-F</w:t>
            </w:r>
            <w:r>
              <w:rPr>
                <w:color w:val="000000"/>
                <w:spacing w:val="0"/>
                <w:w w:val="100"/>
                <w:position w:val="0"/>
                <w:sz w:val="20"/>
                <w:szCs w:val="20"/>
              </w:rPr>
              <w:t>环阳性（参考条件）经二级及以上医疗机构诊断。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634"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24</w:t>
            </w:r>
          </w:p>
        </w:tc>
        <w:tc>
          <w:tcPr>
            <w:tcW w:w="127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阿尔兹海默病</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17"/>
              </w:numPr>
              <w:shd w:val="clear" w:color="auto" w:fill="auto"/>
              <w:tabs>
                <w:tab w:val="left" w:pos="202"/>
              </w:tabs>
              <w:spacing w:before="0" w:after="80" w:line="240" w:lineRule="auto"/>
              <w:ind w:left="0" w:right="0" w:firstLine="0"/>
              <w:jc w:val="left"/>
              <w:rPr>
                <w:sz w:val="20"/>
                <w:szCs w:val="20"/>
              </w:rPr>
            </w:pPr>
            <w:r>
              <w:rPr>
                <w:color w:val="000000"/>
                <w:spacing w:val="0"/>
                <w:w w:val="100"/>
                <w:position w:val="0"/>
                <w:sz w:val="20"/>
                <w:szCs w:val="20"/>
              </w:rPr>
              <w:t>符合阿尔茨海默病的诊断标准，经二级及以上医疗机构确诊。</w:t>
            </w:r>
          </w:p>
          <w:p>
            <w:pPr>
              <w:pStyle w:val="29"/>
              <w:widowControl w:val="0"/>
              <w:numPr>
                <w:ilvl w:val="0"/>
                <w:numId w:val="17"/>
              </w:numPr>
              <w:shd w:val="clear" w:color="auto" w:fill="auto"/>
              <w:tabs>
                <w:tab w:val="left" w:pos="202"/>
              </w:tabs>
              <w:spacing w:before="0" w:after="0" w:line="240" w:lineRule="auto"/>
              <w:ind w:left="0" w:right="0" w:firstLine="0"/>
              <w:jc w:val="left"/>
              <w:rPr>
                <w:sz w:val="20"/>
                <w:szCs w:val="20"/>
              </w:rPr>
            </w:pPr>
            <w:r>
              <w:rPr>
                <w:color w:val="000000"/>
                <w:spacing w:val="0"/>
                <w:w w:val="100"/>
                <w:position w:val="0"/>
                <w:sz w:val="20"/>
                <w:szCs w:val="20"/>
              </w:rPr>
              <w:t>排除其他疾病所致的认知功能障碍。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570"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25</w:t>
            </w:r>
          </w:p>
        </w:tc>
        <w:tc>
          <w:tcPr>
            <w:tcW w:w="127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2" w:lineRule="exact"/>
              <w:ind w:left="180" w:right="0" w:firstLine="0"/>
              <w:jc w:val="both"/>
              <w:rPr>
                <w:sz w:val="20"/>
                <w:szCs w:val="20"/>
              </w:rPr>
            </w:pPr>
            <w:r>
              <w:rPr>
                <w:color w:val="000000"/>
                <w:spacing w:val="0"/>
                <w:w w:val="100"/>
                <w:position w:val="0"/>
                <w:sz w:val="20"/>
                <w:szCs w:val="20"/>
              </w:rPr>
              <w:t>慢性塞性肺疾病</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18"/>
              </w:numPr>
              <w:shd w:val="clear" w:color="auto" w:fill="auto"/>
              <w:tabs>
                <w:tab w:val="left" w:pos="226"/>
              </w:tabs>
              <w:spacing w:before="0" w:after="0" w:line="302" w:lineRule="exact"/>
              <w:ind w:left="0" w:right="0" w:firstLine="0"/>
              <w:jc w:val="left"/>
              <w:rPr>
                <w:sz w:val="20"/>
                <w:szCs w:val="20"/>
              </w:rPr>
            </w:pPr>
            <w:r>
              <w:rPr>
                <w:color w:val="000000"/>
                <w:spacing w:val="0"/>
                <w:w w:val="100"/>
                <w:position w:val="0"/>
                <w:sz w:val="20"/>
                <w:szCs w:val="20"/>
              </w:rPr>
              <w:t>出现相关临床表现，经三级医院临床确诊为慢性阻塞性肺病。（必要条件）</w:t>
            </w:r>
          </w:p>
          <w:p>
            <w:pPr>
              <w:pStyle w:val="29"/>
              <w:widowControl w:val="0"/>
              <w:numPr>
                <w:ilvl w:val="0"/>
                <w:numId w:val="18"/>
              </w:numPr>
              <w:shd w:val="clear" w:color="auto" w:fill="auto"/>
              <w:tabs>
                <w:tab w:val="left" w:pos="206"/>
              </w:tabs>
              <w:spacing w:before="0" w:after="0" w:line="302" w:lineRule="exact"/>
              <w:ind w:left="0" w:right="0" w:firstLine="0"/>
              <w:jc w:val="both"/>
              <w:rPr>
                <w:sz w:val="20"/>
                <w:szCs w:val="20"/>
              </w:rPr>
            </w:pPr>
            <w:r>
              <w:rPr>
                <w:color w:val="000000"/>
                <w:spacing w:val="0"/>
                <w:w w:val="100"/>
                <w:position w:val="0"/>
                <w:sz w:val="20"/>
                <w:szCs w:val="20"/>
              </w:rPr>
              <w:t>肺功能检查：吸入支气管扩张剂后，</w:t>
            </w:r>
            <w:r>
              <w:rPr>
                <w:color w:val="000000"/>
                <w:spacing w:val="0"/>
                <w:w w:val="100"/>
                <w:position w:val="0"/>
                <w:sz w:val="20"/>
                <w:szCs w:val="20"/>
                <w:lang w:val="en-US" w:eastAsia="en-US" w:bidi="en-US"/>
              </w:rPr>
              <w:t xml:space="preserve">FEV1/FVC </w:t>
            </w:r>
            <w:r>
              <w:rPr>
                <w:color w:val="000000"/>
                <w:spacing w:val="0"/>
                <w:w w:val="100"/>
                <w:position w:val="0"/>
                <w:sz w:val="20"/>
                <w:szCs w:val="20"/>
              </w:rPr>
              <w:t xml:space="preserve">&lt;70%, </w:t>
            </w:r>
            <w:r>
              <w:rPr>
                <w:color w:val="000000"/>
                <w:spacing w:val="0"/>
                <w:w w:val="100"/>
                <w:position w:val="0"/>
                <w:sz w:val="20"/>
                <w:szCs w:val="20"/>
                <w:lang w:val="en-US" w:eastAsia="en-US" w:bidi="en-US"/>
              </w:rPr>
              <w:t>FEV1</w:t>
            </w:r>
            <w:r>
              <w:rPr>
                <w:color w:val="000000"/>
                <w:spacing w:val="0"/>
                <w:w w:val="100"/>
                <w:position w:val="0"/>
                <w:sz w:val="20"/>
                <w:szCs w:val="20"/>
              </w:rPr>
              <w:t>占预计值的百分比 &lt;80%.（必要条件）</w:t>
            </w:r>
          </w:p>
          <w:p>
            <w:pPr>
              <w:pStyle w:val="29"/>
              <w:widowControl w:val="0"/>
              <w:numPr>
                <w:ilvl w:val="0"/>
                <w:numId w:val="18"/>
              </w:numPr>
              <w:shd w:val="clear" w:color="auto" w:fill="auto"/>
              <w:tabs>
                <w:tab w:val="left" w:pos="202"/>
              </w:tabs>
              <w:spacing w:before="0" w:after="0" w:line="326" w:lineRule="exact"/>
              <w:ind w:left="0" w:right="0" w:firstLine="0"/>
              <w:jc w:val="left"/>
              <w:rPr>
                <w:sz w:val="20"/>
                <w:szCs w:val="20"/>
              </w:rPr>
            </w:pPr>
            <w:r>
              <w:rPr>
                <w:color w:val="000000"/>
                <w:spacing w:val="0"/>
                <w:w w:val="100"/>
                <w:position w:val="0"/>
                <w:sz w:val="20"/>
                <w:szCs w:val="20"/>
              </w:rPr>
              <w:t>胸部X线或</w:t>
            </w:r>
            <w:r>
              <w:rPr>
                <w:color w:val="000000"/>
                <w:spacing w:val="0"/>
                <w:w w:val="100"/>
                <w:position w:val="0"/>
                <w:sz w:val="20"/>
                <w:szCs w:val="20"/>
                <w:lang w:val="en-US" w:eastAsia="en-US" w:bidi="en-US"/>
              </w:rPr>
              <w:t>CT</w:t>
            </w:r>
            <w:r>
              <w:rPr>
                <w:color w:val="000000"/>
                <w:spacing w:val="0"/>
                <w:w w:val="100"/>
                <w:position w:val="0"/>
                <w:sz w:val="20"/>
                <w:szCs w:val="20"/>
              </w:rPr>
              <w:t>检查：肺气肿等影像表现。（参考条件） 经二级及以上医疗机构诊断并符合上述条件</w:t>
            </w:r>
            <w:r>
              <w:rPr>
                <w:rFonts w:hint="eastAsia"/>
                <w:color w:val="000000"/>
                <w:spacing w:val="0"/>
                <w:w w:val="100"/>
                <w:position w:val="0"/>
                <w:sz w:val="20"/>
                <w:szCs w:val="20"/>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506" w:hRule="exact"/>
          <w:jc w:val="center"/>
        </w:trPr>
        <w:tc>
          <w:tcPr>
            <w:tcW w:w="69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26</w:t>
            </w:r>
          </w:p>
        </w:tc>
        <w:tc>
          <w:tcPr>
            <w:tcW w:w="127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2" w:lineRule="exact"/>
              <w:ind w:left="0" w:right="0" w:firstLine="0"/>
              <w:jc w:val="center"/>
              <w:rPr>
                <w:sz w:val="20"/>
                <w:szCs w:val="20"/>
              </w:rPr>
            </w:pPr>
            <w:r>
              <w:rPr>
                <w:color w:val="000000"/>
                <w:spacing w:val="0"/>
                <w:w w:val="100"/>
                <w:position w:val="0"/>
                <w:sz w:val="20"/>
                <w:szCs w:val="20"/>
              </w:rPr>
              <w:t>肺间质纤维化</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19"/>
              </w:numPr>
              <w:shd w:val="clear" w:color="auto" w:fill="auto"/>
              <w:tabs>
                <w:tab w:val="left" w:pos="235"/>
              </w:tabs>
              <w:spacing w:before="0" w:after="0" w:line="317" w:lineRule="exact"/>
              <w:ind w:left="0" w:right="0" w:firstLine="0"/>
              <w:jc w:val="left"/>
              <w:rPr>
                <w:sz w:val="20"/>
                <w:szCs w:val="20"/>
              </w:rPr>
            </w:pPr>
            <w:r>
              <w:rPr>
                <w:color w:val="000000"/>
                <w:spacing w:val="0"/>
                <w:w w:val="100"/>
                <w:position w:val="0"/>
                <w:sz w:val="20"/>
                <w:szCs w:val="20"/>
              </w:rPr>
              <w:t>出现进行性加重的呼吸困难等临床表现，经住院确诊为肺间质纤维化（必要条件</w:t>
            </w:r>
            <w:r>
              <w:rPr>
                <w:color w:val="000000"/>
                <w:spacing w:val="0"/>
                <w:w w:val="100"/>
                <w:position w:val="0"/>
                <w:sz w:val="20"/>
                <w:szCs w:val="20"/>
                <w:lang w:val="en-US" w:eastAsia="en-US" w:bidi="en-US"/>
              </w:rPr>
              <w:t>）</w:t>
            </w:r>
            <w:r>
              <w:rPr>
                <w:rFonts w:hint="eastAsia"/>
                <w:color w:val="000000"/>
                <w:spacing w:val="0"/>
                <w:w w:val="100"/>
                <w:position w:val="0"/>
                <w:sz w:val="20"/>
                <w:szCs w:val="20"/>
                <w:lang w:val="en-US" w:eastAsia="zh-CN" w:bidi="en-US"/>
              </w:rPr>
              <w:t>。</w:t>
            </w:r>
          </w:p>
          <w:p>
            <w:pPr>
              <w:pStyle w:val="29"/>
              <w:widowControl w:val="0"/>
              <w:numPr>
                <w:ilvl w:val="0"/>
                <w:numId w:val="19"/>
              </w:numPr>
              <w:shd w:val="clear" w:color="auto" w:fill="auto"/>
              <w:tabs>
                <w:tab w:val="left" w:pos="216"/>
              </w:tabs>
              <w:spacing w:before="0" w:after="0" w:line="331" w:lineRule="exact"/>
              <w:ind w:left="0" w:right="0" w:firstLine="0"/>
              <w:jc w:val="left"/>
              <w:rPr>
                <w:sz w:val="20"/>
                <w:szCs w:val="20"/>
              </w:rPr>
            </w:pPr>
            <w:r>
              <w:rPr>
                <w:color w:val="000000"/>
                <w:spacing w:val="0"/>
                <w:w w:val="100"/>
                <w:position w:val="0"/>
                <w:sz w:val="20"/>
                <w:szCs w:val="20"/>
              </w:rPr>
              <w:t>胸部</w:t>
            </w:r>
            <w:r>
              <w:rPr>
                <w:color w:val="000000"/>
                <w:spacing w:val="0"/>
                <w:w w:val="100"/>
                <w:position w:val="0"/>
                <w:sz w:val="20"/>
                <w:szCs w:val="20"/>
                <w:lang w:val="en-US" w:eastAsia="en-US" w:bidi="en-US"/>
              </w:rPr>
              <w:t>HRCT</w:t>
            </w:r>
            <w:r>
              <w:rPr>
                <w:color w:val="000000"/>
                <w:spacing w:val="0"/>
                <w:w w:val="100"/>
                <w:position w:val="0"/>
                <w:sz w:val="20"/>
                <w:szCs w:val="20"/>
              </w:rPr>
              <w:t>检查：双肺网状改变，后期出现蜂窝肺，偶可伴毛玻璃影（参考条件）。</w:t>
            </w:r>
          </w:p>
          <w:p>
            <w:pPr>
              <w:pStyle w:val="29"/>
              <w:widowControl w:val="0"/>
              <w:numPr>
                <w:ilvl w:val="0"/>
                <w:numId w:val="19"/>
              </w:numPr>
              <w:shd w:val="clear" w:color="auto" w:fill="auto"/>
              <w:tabs>
                <w:tab w:val="left" w:pos="216"/>
              </w:tabs>
              <w:spacing w:before="0" w:after="0" w:line="331" w:lineRule="exact"/>
              <w:ind w:left="0" w:right="0" w:firstLine="0"/>
              <w:jc w:val="left"/>
              <w:rPr>
                <w:sz w:val="20"/>
                <w:szCs w:val="20"/>
              </w:rPr>
            </w:pPr>
            <w:r>
              <w:rPr>
                <w:color w:val="000000"/>
                <w:spacing w:val="0"/>
                <w:w w:val="100"/>
                <w:position w:val="0"/>
                <w:sz w:val="20"/>
                <w:szCs w:val="20"/>
              </w:rPr>
              <w:t>肺功能检查：肺容量降低、弥散功能障碍</w:t>
            </w:r>
            <w:r>
              <w:rPr>
                <w:color w:val="000000"/>
                <w:spacing w:val="0"/>
                <w:w w:val="100"/>
                <w:position w:val="0"/>
                <w:sz w:val="20"/>
                <w:szCs w:val="20"/>
                <w:lang w:val="en-US" w:eastAsia="en-US" w:bidi="en-US"/>
              </w:rPr>
              <w:t>（Dlco%</w:t>
            </w:r>
            <w:r>
              <w:rPr>
                <w:color w:val="000000"/>
                <w:spacing w:val="0"/>
                <w:w w:val="100"/>
                <w:position w:val="0"/>
                <w:sz w:val="20"/>
                <w:szCs w:val="20"/>
              </w:rPr>
              <w:t>下降、</w:t>
            </w:r>
            <w:r>
              <w:rPr>
                <w:color w:val="000000"/>
                <w:spacing w:val="0"/>
                <w:w w:val="100"/>
                <w:position w:val="0"/>
                <w:sz w:val="20"/>
                <w:szCs w:val="20"/>
                <w:lang w:val="en-US" w:eastAsia="en-US" w:bidi="en-US"/>
              </w:rPr>
              <w:t>Dlco/VA</w:t>
            </w:r>
            <w:r>
              <w:rPr>
                <w:color w:val="000000"/>
                <w:spacing w:val="0"/>
                <w:w w:val="100"/>
                <w:position w:val="0"/>
                <w:sz w:val="20"/>
                <w:szCs w:val="20"/>
              </w:rPr>
              <w:t>下降）（参 考条件）。</w:t>
            </w:r>
          </w:p>
          <w:p>
            <w:pPr>
              <w:pStyle w:val="29"/>
              <w:widowControl w:val="0"/>
              <w:shd w:val="clear" w:color="auto" w:fill="auto"/>
              <w:spacing w:before="0" w:after="0" w:line="312" w:lineRule="exact"/>
              <w:ind w:left="0" w:right="0" w:firstLine="0"/>
              <w:jc w:val="left"/>
              <w:rPr>
                <w:sz w:val="20"/>
                <w:szCs w:val="20"/>
              </w:rPr>
            </w:pPr>
            <w:r>
              <w:rPr>
                <w:color w:val="000000"/>
                <w:spacing w:val="0"/>
                <w:w w:val="100"/>
                <w:position w:val="0"/>
                <w:sz w:val="20"/>
                <w:szCs w:val="20"/>
              </w:rPr>
              <w:t>准入标准：必要条件一条+参考条件一条 经二级及以上医疗机构诊断并符合上述条件。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653" w:hRule="exact"/>
          <w:jc w:val="center"/>
        </w:trPr>
        <w:tc>
          <w:tcPr>
            <w:tcW w:w="691"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27</w:t>
            </w:r>
          </w:p>
        </w:tc>
        <w:tc>
          <w:tcPr>
            <w:tcW w:w="1277" w:type="dxa"/>
            <w:tcBorders>
              <w:top w:val="single" w:color="auto" w:sz="4" w:space="0"/>
              <w:left w:val="single" w:color="auto" w:sz="4" w:space="0"/>
              <w:bottom w:val="single" w:color="auto" w:sz="4" w:space="0"/>
            </w:tcBorders>
            <w:shd w:val="clear" w:color="auto" w:fill="FFFFFF"/>
            <w:vAlign w:val="top"/>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系统性红斑狼疮</w:t>
            </w:r>
          </w:p>
        </w:tc>
        <w:tc>
          <w:tcPr>
            <w:tcW w:w="73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符合国际系统性红斑狼疮分类标准，经二级及以上医疗机构确诊。</w:t>
            </w:r>
          </w:p>
        </w:tc>
      </w:tr>
    </w:tbl>
    <w:p>
      <w:pPr>
        <w:widowControl w:val="0"/>
        <w:spacing w:line="1" w:lineRule="exact"/>
      </w:pPr>
      <w:r>
        <w:br w:type="page"/>
      </w:r>
    </w:p>
    <w:tbl>
      <w:tblPr>
        <w:tblStyle w:val="15"/>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96"/>
        <w:gridCol w:w="1272"/>
        <w:gridCol w:w="73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653"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28</w:t>
            </w:r>
          </w:p>
        </w:tc>
        <w:tc>
          <w:tcPr>
            <w:tcW w:w="1272" w:type="dxa"/>
            <w:tcBorders>
              <w:top w:val="single" w:color="auto" w:sz="4" w:space="0"/>
              <w:left w:val="single" w:color="auto" w:sz="4" w:space="0"/>
            </w:tcBorders>
            <w:shd w:val="clear" w:color="auto" w:fill="FFFFFF"/>
            <w:vAlign w:val="bottom"/>
          </w:tcPr>
          <w:p>
            <w:pPr>
              <w:pStyle w:val="29"/>
              <w:widowControl w:val="0"/>
              <w:shd w:val="clear" w:color="auto" w:fill="auto"/>
              <w:spacing w:before="0" w:after="0" w:line="326" w:lineRule="exact"/>
              <w:ind w:left="0" w:right="0" w:firstLine="0"/>
              <w:jc w:val="center"/>
              <w:rPr>
                <w:sz w:val="20"/>
                <w:szCs w:val="20"/>
              </w:rPr>
            </w:pPr>
            <w:r>
              <w:rPr>
                <w:color w:val="000000"/>
                <w:spacing w:val="0"/>
                <w:w w:val="100"/>
                <w:position w:val="0"/>
                <w:sz w:val="20"/>
                <w:szCs w:val="20"/>
              </w:rPr>
              <w:t>类风湿性关节炎</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符合类风湿性关节炎分类标准，经二级及以上医疗机构确诊。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29</w:t>
            </w:r>
          </w:p>
        </w:tc>
        <w:tc>
          <w:tcPr>
            <w:tcW w:w="1272"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7" w:lineRule="exact"/>
              <w:ind w:left="180" w:right="0" w:firstLine="20"/>
              <w:jc w:val="both"/>
              <w:rPr>
                <w:sz w:val="20"/>
                <w:szCs w:val="20"/>
              </w:rPr>
            </w:pPr>
            <w:r>
              <w:rPr>
                <w:color w:val="000000"/>
                <w:spacing w:val="0"/>
                <w:w w:val="100"/>
                <w:position w:val="0"/>
                <w:sz w:val="20"/>
                <w:szCs w:val="20"/>
              </w:rPr>
              <w:t>多性肌炎（皮肌炎）</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302" w:lineRule="exact"/>
              <w:ind w:left="0" w:right="0" w:firstLine="0"/>
              <w:jc w:val="both"/>
              <w:rPr>
                <w:sz w:val="20"/>
                <w:szCs w:val="20"/>
              </w:rPr>
            </w:pPr>
            <w:r>
              <w:rPr>
                <w:color w:val="000000"/>
                <w:spacing w:val="0"/>
                <w:w w:val="100"/>
                <w:position w:val="0"/>
                <w:sz w:val="20"/>
                <w:szCs w:val="20"/>
              </w:rPr>
              <w:t>临床出现慢性进展的对称性近端肌无力、肌肉疼痛、特征性皮疹等症状，符合相应检验检查结果，经二级及以上医疗机构确诊。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570"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30</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26" w:lineRule="exact"/>
              <w:ind w:left="0" w:right="0" w:firstLine="0"/>
              <w:jc w:val="center"/>
              <w:rPr>
                <w:sz w:val="20"/>
                <w:szCs w:val="20"/>
              </w:rPr>
            </w:pPr>
            <w:r>
              <w:rPr>
                <w:color w:val="000000"/>
                <w:spacing w:val="0"/>
                <w:w w:val="100"/>
                <w:position w:val="0"/>
                <w:sz w:val="20"/>
                <w:szCs w:val="20"/>
              </w:rPr>
              <w:t>系统性血管炎</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0" w:line="310" w:lineRule="exact"/>
              <w:ind w:left="0" w:right="0" w:firstLine="0"/>
              <w:jc w:val="both"/>
              <w:rPr>
                <w:sz w:val="20"/>
                <w:szCs w:val="20"/>
              </w:rPr>
            </w:pPr>
            <w:r>
              <w:rPr>
                <w:color w:val="000000"/>
                <w:spacing w:val="0"/>
                <w:w w:val="100"/>
                <w:position w:val="0"/>
                <w:sz w:val="20"/>
                <w:szCs w:val="20"/>
              </w:rPr>
              <w:t>系统性血管炎（大动脉炎、巨细胞动脉炎、结节性多动脉炎、川崎病、显微镜 下多血管炎、嗜酸性肉芽肿性多血管炎、肉芽肿性多血管炎、白塞病、</w:t>
            </w:r>
            <w:r>
              <w:rPr>
                <w:color w:val="000000"/>
                <w:spacing w:val="0"/>
                <w:w w:val="100"/>
                <w:position w:val="0"/>
                <w:sz w:val="20"/>
                <w:szCs w:val="20"/>
                <w:lang w:val="en-US" w:eastAsia="en-US" w:bidi="en-US"/>
              </w:rPr>
              <w:t>IgA</w:t>
            </w:r>
            <w:r>
              <w:rPr>
                <w:color w:val="000000"/>
                <w:spacing w:val="0"/>
                <w:w w:val="100"/>
                <w:position w:val="0"/>
                <w:sz w:val="20"/>
                <w:szCs w:val="20"/>
              </w:rPr>
              <w:t>血管 炎）</w:t>
            </w:r>
          </w:p>
          <w:p>
            <w:pPr>
              <w:pStyle w:val="29"/>
              <w:widowControl w:val="0"/>
              <w:shd w:val="clear" w:color="auto" w:fill="auto"/>
              <w:spacing w:before="0" w:after="0" w:line="310" w:lineRule="exact"/>
              <w:ind w:left="0" w:right="0" w:firstLine="0"/>
              <w:jc w:val="both"/>
              <w:rPr>
                <w:sz w:val="20"/>
                <w:szCs w:val="20"/>
              </w:rPr>
            </w:pPr>
            <w:r>
              <w:rPr>
                <w:color w:val="000000"/>
                <w:spacing w:val="0"/>
                <w:w w:val="100"/>
                <w:position w:val="0"/>
                <w:sz w:val="20"/>
                <w:szCs w:val="20"/>
              </w:rPr>
              <w:t>符合系统性血管炎分类标准，且合并皮肤之外的器官受累，经二级及以上医疗机构确诊。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128"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31</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5" w:lineRule="exact"/>
              <w:ind w:left="0" w:right="0" w:firstLine="200"/>
              <w:jc w:val="left"/>
              <w:rPr>
                <w:sz w:val="20"/>
                <w:szCs w:val="20"/>
              </w:rPr>
            </w:pPr>
            <w:r>
              <w:rPr>
                <w:color w:val="000000"/>
                <w:spacing w:val="0"/>
                <w:w w:val="100"/>
                <w:position w:val="0"/>
                <w:sz w:val="20"/>
                <w:szCs w:val="20"/>
              </w:rPr>
              <w:t>脊柱性关 节炎（强直性脊柱炎）</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符合国际脊柱关节炎分类标准，经二级及以上医疗机构确诊。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171"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32</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系统性硬化症（硬皮病）</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307" w:lineRule="exact"/>
              <w:ind w:left="0" w:right="0" w:firstLine="0"/>
              <w:jc w:val="both"/>
              <w:rPr>
                <w:sz w:val="20"/>
                <w:szCs w:val="20"/>
              </w:rPr>
            </w:pPr>
            <w:r>
              <w:rPr>
                <w:color w:val="000000"/>
                <w:spacing w:val="0"/>
                <w:w w:val="100"/>
                <w:position w:val="0"/>
                <w:sz w:val="20"/>
                <w:szCs w:val="20"/>
              </w:rPr>
              <w:t>符合国际系统性硬化症（硬皮病）分类标准，且合并皮肤之外器官受累，经二级及以上医疗机构确诊。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854"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33</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干燥综合征</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both"/>
              <w:rPr>
                <w:sz w:val="20"/>
                <w:szCs w:val="20"/>
              </w:rPr>
            </w:pPr>
            <w:r>
              <w:rPr>
                <w:color w:val="000000"/>
                <w:spacing w:val="0"/>
                <w:w w:val="100"/>
                <w:position w:val="0"/>
                <w:sz w:val="20"/>
                <w:szCs w:val="20"/>
              </w:rPr>
              <w:t>符合国际干燥综合征分类标准，且合并口、眼之外器官受累，经二级及以上医疗机构确诊。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1"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34</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糖尿病</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0" w:line="317" w:lineRule="exact"/>
              <w:ind w:left="0" w:right="0" w:firstLine="0"/>
              <w:jc w:val="both"/>
              <w:rPr>
                <w:sz w:val="20"/>
                <w:szCs w:val="20"/>
              </w:rPr>
            </w:pPr>
            <w:r>
              <w:rPr>
                <w:color w:val="000000"/>
                <w:spacing w:val="0"/>
                <w:w w:val="100"/>
                <w:position w:val="0"/>
                <w:sz w:val="20"/>
                <w:szCs w:val="20"/>
              </w:rPr>
              <w:t>符合糖尿病诊断标准，且合并急、慢性并发症之一者（I型糖尿病确诊即可享受待遇）。</w:t>
            </w:r>
          </w:p>
          <w:p>
            <w:pPr>
              <w:pStyle w:val="29"/>
              <w:widowControl w:val="0"/>
              <w:shd w:val="clear" w:color="auto" w:fill="auto"/>
              <w:spacing w:before="0" w:after="0" w:line="317" w:lineRule="exact"/>
              <w:ind w:left="0" w:right="0" w:firstLine="0"/>
              <w:jc w:val="both"/>
              <w:rPr>
                <w:sz w:val="20"/>
                <w:szCs w:val="20"/>
              </w:rPr>
            </w:pPr>
            <w:r>
              <w:rPr>
                <w:color w:val="000000"/>
                <w:spacing w:val="0"/>
                <w:w w:val="100"/>
                <w:position w:val="0"/>
                <w:sz w:val="20"/>
                <w:szCs w:val="20"/>
              </w:rPr>
              <w:t>经二级及以上医疗机构确诊.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35</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2" w:lineRule="exact"/>
              <w:ind w:left="0" w:right="0" w:firstLine="0"/>
              <w:jc w:val="center"/>
              <w:rPr>
                <w:sz w:val="20"/>
                <w:szCs w:val="20"/>
              </w:rPr>
            </w:pPr>
            <w:r>
              <w:rPr>
                <w:color w:val="000000"/>
                <w:spacing w:val="0"/>
                <w:w w:val="100"/>
                <w:position w:val="0"/>
                <w:sz w:val="20"/>
                <w:szCs w:val="20"/>
              </w:rPr>
              <w:t>股骨头坏死</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20"/>
              </w:numPr>
              <w:shd w:val="clear" w:color="auto" w:fill="auto"/>
              <w:tabs>
                <w:tab w:val="left" w:pos="202"/>
              </w:tabs>
              <w:spacing w:before="0" w:after="80" w:line="240" w:lineRule="auto"/>
              <w:ind w:left="0" w:right="0" w:firstLine="0"/>
              <w:jc w:val="both"/>
              <w:rPr>
                <w:sz w:val="20"/>
                <w:szCs w:val="20"/>
              </w:rPr>
            </w:pPr>
            <w:r>
              <w:rPr>
                <w:color w:val="000000"/>
                <w:spacing w:val="0"/>
                <w:w w:val="100"/>
                <w:position w:val="0"/>
                <w:sz w:val="20"/>
                <w:szCs w:val="20"/>
              </w:rPr>
              <w:t>符合股骨头坏死的临床表现，患侧未行髓关节置换手术.</w:t>
            </w:r>
          </w:p>
          <w:p>
            <w:pPr>
              <w:pStyle w:val="29"/>
              <w:widowControl w:val="0"/>
              <w:numPr>
                <w:ilvl w:val="0"/>
                <w:numId w:val="20"/>
              </w:numPr>
              <w:shd w:val="clear" w:color="auto" w:fill="auto"/>
              <w:tabs>
                <w:tab w:val="left" w:pos="211"/>
              </w:tabs>
              <w:spacing w:before="0" w:after="80" w:line="240" w:lineRule="auto"/>
              <w:ind w:left="0" w:right="0" w:firstLine="0"/>
              <w:jc w:val="both"/>
              <w:rPr>
                <w:sz w:val="20"/>
                <w:szCs w:val="20"/>
              </w:rPr>
            </w:pPr>
            <w:r>
              <w:rPr>
                <w:color w:val="000000"/>
                <w:spacing w:val="0"/>
                <w:w w:val="100"/>
                <w:position w:val="0"/>
                <w:sz w:val="20"/>
                <w:szCs w:val="20"/>
              </w:rPr>
              <w:t>影像学检查显示股骨头坏死.</w:t>
            </w:r>
          </w:p>
          <w:p>
            <w:pPr>
              <w:pStyle w:val="29"/>
              <w:widowControl w:val="0"/>
              <w:shd w:val="clear" w:color="auto" w:fill="auto"/>
              <w:spacing w:before="0" w:after="80" w:line="240" w:lineRule="auto"/>
              <w:ind w:left="0" w:right="0" w:firstLine="0"/>
              <w:jc w:val="both"/>
              <w:rPr>
                <w:sz w:val="20"/>
                <w:szCs w:val="20"/>
              </w:rPr>
            </w:pPr>
            <w:r>
              <w:rPr>
                <w:color w:val="000000"/>
                <w:spacing w:val="0"/>
                <w:w w:val="100"/>
                <w:position w:val="0"/>
                <w:sz w:val="20"/>
                <w:szCs w:val="20"/>
              </w:rPr>
              <w:t>经二级及以上医疗机构诊断并符合上述条件。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690"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36</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严重精神障碍</w:t>
            </w:r>
          </w:p>
        </w:tc>
        <w:tc>
          <w:tcPr>
            <w:tcW w:w="7378"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0" w:line="322" w:lineRule="exact"/>
              <w:ind w:left="0" w:right="0" w:firstLine="0"/>
              <w:jc w:val="both"/>
              <w:rPr>
                <w:sz w:val="20"/>
                <w:szCs w:val="20"/>
              </w:rPr>
            </w:pPr>
            <w:r>
              <w:rPr>
                <w:color w:val="000000"/>
                <w:spacing w:val="0"/>
                <w:w w:val="100"/>
                <w:position w:val="0"/>
                <w:sz w:val="20"/>
                <w:szCs w:val="20"/>
              </w:rPr>
              <w:t>严重精神障碍（包含精神分裂症、分裂情感性精神障碍、偏执型精神障碍、双相情感障碍、癫痫伴发精神障碍、精神发育迟缓伴发精神障碍、伴有严重冲动 伤人行为的其他精神障碍）</w:t>
            </w:r>
          </w:p>
          <w:p>
            <w:pPr>
              <w:pStyle w:val="29"/>
              <w:widowControl w:val="0"/>
              <w:numPr>
                <w:ilvl w:val="0"/>
                <w:numId w:val="21"/>
              </w:numPr>
              <w:shd w:val="clear" w:color="auto" w:fill="auto"/>
              <w:tabs>
                <w:tab w:val="left" w:pos="202"/>
              </w:tabs>
              <w:spacing w:before="0" w:after="0" w:line="322" w:lineRule="exact"/>
              <w:ind w:left="0" w:right="0" w:firstLine="0"/>
              <w:jc w:val="both"/>
              <w:rPr>
                <w:sz w:val="20"/>
                <w:szCs w:val="20"/>
              </w:rPr>
            </w:pPr>
            <w:r>
              <w:rPr>
                <w:color w:val="000000"/>
                <w:spacing w:val="0"/>
                <w:w w:val="100"/>
                <w:position w:val="0"/>
                <w:sz w:val="20"/>
                <w:szCs w:val="20"/>
              </w:rPr>
              <w:t>符合国际疾病分类中精神与行为障碍相关疾病诊断标准。</w:t>
            </w:r>
          </w:p>
          <w:p>
            <w:pPr>
              <w:pStyle w:val="29"/>
              <w:widowControl w:val="0"/>
              <w:numPr>
                <w:ilvl w:val="0"/>
                <w:numId w:val="21"/>
              </w:numPr>
              <w:shd w:val="clear" w:color="auto" w:fill="auto"/>
              <w:tabs>
                <w:tab w:val="left" w:pos="202"/>
              </w:tabs>
              <w:spacing w:before="0" w:after="0" w:line="322" w:lineRule="exact"/>
              <w:ind w:left="0" w:right="0" w:firstLine="0"/>
              <w:jc w:val="both"/>
              <w:rPr>
                <w:sz w:val="20"/>
                <w:szCs w:val="20"/>
              </w:rPr>
            </w:pPr>
            <w:r>
              <w:rPr>
                <w:color w:val="000000"/>
                <w:spacing w:val="0"/>
                <w:w w:val="100"/>
                <w:position w:val="0"/>
                <w:sz w:val="20"/>
                <w:szCs w:val="20"/>
              </w:rPr>
              <w:t>提供精神专科医疗机构或二级及以上综合医疗机构诊断证明。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747"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37</w:t>
            </w:r>
          </w:p>
        </w:tc>
        <w:tc>
          <w:tcPr>
            <w:tcW w:w="127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其他精神障碍</w:t>
            </w:r>
          </w:p>
        </w:tc>
        <w:tc>
          <w:tcPr>
            <w:tcW w:w="7378" w:type="dxa"/>
            <w:tcBorders>
              <w:top w:val="single" w:color="auto" w:sz="4" w:space="0"/>
              <w:left w:val="single" w:color="auto" w:sz="4" w:space="0"/>
              <w:right w:val="single" w:color="auto" w:sz="4" w:space="0"/>
            </w:tcBorders>
            <w:shd w:val="clear" w:color="auto" w:fill="FFFFFF"/>
            <w:vAlign w:val="center"/>
          </w:tcPr>
          <w:p>
            <w:pPr>
              <w:pStyle w:val="29"/>
              <w:widowControl w:val="0"/>
              <w:numPr>
                <w:ilvl w:val="0"/>
                <w:numId w:val="22"/>
              </w:numPr>
              <w:shd w:val="clear" w:color="auto" w:fill="auto"/>
              <w:tabs>
                <w:tab w:val="left" w:pos="202"/>
              </w:tabs>
              <w:spacing w:before="0" w:after="0" w:line="317" w:lineRule="exact"/>
              <w:ind w:left="0" w:right="0" w:firstLine="0"/>
              <w:jc w:val="both"/>
              <w:rPr>
                <w:sz w:val="20"/>
                <w:szCs w:val="20"/>
              </w:rPr>
            </w:pPr>
            <w:r>
              <w:rPr>
                <w:color w:val="000000"/>
                <w:spacing w:val="0"/>
                <w:w w:val="100"/>
                <w:position w:val="0"/>
                <w:sz w:val="20"/>
                <w:szCs w:val="20"/>
              </w:rPr>
              <w:t>符合国际疾病分类中精神与行为障碍相关疾病诊断标准。</w:t>
            </w:r>
          </w:p>
          <w:p>
            <w:pPr>
              <w:pStyle w:val="29"/>
              <w:widowControl w:val="0"/>
              <w:numPr>
                <w:ilvl w:val="0"/>
                <w:numId w:val="22"/>
              </w:numPr>
              <w:shd w:val="clear" w:color="auto" w:fill="auto"/>
              <w:tabs>
                <w:tab w:val="left" w:pos="230"/>
              </w:tabs>
              <w:spacing w:before="0" w:after="0" w:line="317" w:lineRule="exact"/>
              <w:ind w:left="0" w:right="0" w:firstLine="0"/>
              <w:jc w:val="both"/>
              <w:rPr>
                <w:sz w:val="20"/>
                <w:szCs w:val="20"/>
              </w:rPr>
            </w:pPr>
            <w:r>
              <w:rPr>
                <w:color w:val="000000"/>
                <w:spacing w:val="0"/>
                <w:w w:val="100"/>
                <w:position w:val="0"/>
                <w:sz w:val="20"/>
                <w:szCs w:val="20"/>
              </w:rPr>
              <w:t>需提供明确诊断的精神专科医疗机构或二级及以上综合医疗机构近两年内的住院病历复印件（住院时间需超过一周）；未经住院治疗的，需有近期连续就诊超过三个月的精神专科医疗机构或二级及以上综合医疗机构的门诊诊疗记录并 同时提供该医院的诊断证明。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60" w:hRule="exact"/>
          <w:jc w:val="center"/>
        </w:trPr>
        <w:tc>
          <w:tcPr>
            <w:tcW w:w="696"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38</w:t>
            </w:r>
          </w:p>
        </w:tc>
        <w:tc>
          <w:tcPr>
            <w:tcW w:w="1272" w:type="dxa"/>
            <w:tcBorders>
              <w:top w:val="single" w:color="auto" w:sz="4" w:space="0"/>
              <w:left w:val="single" w:color="auto" w:sz="4" w:space="0"/>
              <w:bottom w:val="single" w:color="auto" w:sz="4" w:space="0"/>
            </w:tcBorders>
            <w:shd w:val="clear" w:color="auto" w:fill="FFFFFF"/>
            <w:vAlign w:val="top"/>
          </w:tcPr>
          <w:p>
            <w:pPr>
              <w:pStyle w:val="29"/>
              <w:widowControl w:val="0"/>
              <w:shd w:val="clear" w:color="auto" w:fill="auto"/>
              <w:spacing w:before="0" w:after="0" w:line="317" w:lineRule="exact"/>
              <w:ind w:left="0" w:right="0" w:firstLine="200"/>
              <w:jc w:val="both"/>
              <w:rPr>
                <w:sz w:val="20"/>
                <w:szCs w:val="20"/>
              </w:rPr>
            </w:pPr>
            <w:r>
              <w:rPr>
                <w:color w:val="000000"/>
                <w:spacing w:val="0"/>
                <w:w w:val="100"/>
                <w:position w:val="0"/>
                <w:sz w:val="20"/>
                <w:szCs w:val="20"/>
              </w:rPr>
              <w:t>组织或器 官移植（抗 排异治疗）</w:t>
            </w:r>
          </w:p>
        </w:tc>
        <w:tc>
          <w:tcPr>
            <w:tcW w:w="73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有组织或器官移植的手术记录和病例</w:t>
            </w:r>
          </w:p>
        </w:tc>
      </w:tr>
    </w:tbl>
    <w:p>
      <w:pPr>
        <w:widowControl w:val="0"/>
        <w:spacing w:line="1" w:lineRule="exact"/>
        <w:sectPr>
          <w:footerReference r:id="rId7" w:type="default"/>
          <w:footnotePr>
            <w:numFmt w:val="decimal"/>
          </w:footnotePr>
          <w:pgSz w:w="11900" w:h="16840"/>
          <w:pgMar w:top="1417" w:right="1417" w:bottom="1417" w:left="1417" w:header="1706" w:footer="567" w:gutter="0"/>
          <w:pgNumType w:fmt="decimal"/>
          <w:cols w:space="720" w:num="1"/>
          <w:rtlGutter w:val="0"/>
          <w:docGrid w:linePitch="360" w:charSpace="0"/>
        </w:sectPr>
      </w:pPr>
    </w:p>
    <w:tbl>
      <w:tblPr>
        <w:tblStyle w:val="15"/>
        <w:tblW w:w="93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96"/>
        <w:gridCol w:w="1267"/>
        <w:gridCol w:w="7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70"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39</w:t>
            </w:r>
          </w:p>
        </w:tc>
        <w:tc>
          <w:tcPr>
            <w:tcW w:w="126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生长激素缺乏症</w:t>
            </w:r>
          </w:p>
        </w:tc>
        <w:tc>
          <w:tcPr>
            <w:tcW w:w="7382" w:type="dxa"/>
            <w:tcBorders>
              <w:top w:val="single" w:color="auto" w:sz="4" w:space="0"/>
              <w:left w:val="single" w:color="auto" w:sz="4" w:space="0"/>
              <w:right w:val="single" w:color="auto" w:sz="4" w:space="0"/>
            </w:tcBorders>
            <w:shd w:val="clear" w:color="auto" w:fill="FFFFFF"/>
            <w:vAlign w:val="bottom"/>
          </w:tcPr>
          <w:p>
            <w:pPr>
              <w:pStyle w:val="29"/>
              <w:widowControl w:val="0"/>
              <w:numPr>
                <w:ilvl w:val="0"/>
                <w:numId w:val="23"/>
              </w:numPr>
              <w:shd w:val="clear" w:color="auto" w:fill="auto"/>
              <w:tabs>
                <w:tab w:val="left" w:pos="202"/>
              </w:tabs>
              <w:spacing w:before="0" w:after="0" w:line="302" w:lineRule="exact"/>
              <w:ind w:left="0" w:right="0" w:firstLine="0"/>
              <w:jc w:val="both"/>
              <w:rPr>
                <w:sz w:val="20"/>
                <w:szCs w:val="20"/>
              </w:rPr>
            </w:pPr>
            <w:r>
              <w:rPr>
                <w:color w:val="000000"/>
                <w:spacing w:val="0"/>
                <w:w w:val="100"/>
                <w:position w:val="0"/>
                <w:sz w:val="20"/>
                <w:szCs w:val="20"/>
              </w:rPr>
              <w:t>经三级医疗机构专科诊断为生长激素缺乏症</w:t>
            </w:r>
            <w:r>
              <w:rPr>
                <w:rFonts w:hint="eastAsia"/>
                <w:color w:val="000000"/>
                <w:spacing w:val="0"/>
                <w:w w:val="100"/>
                <w:position w:val="0"/>
                <w:sz w:val="20"/>
                <w:szCs w:val="20"/>
                <w:lang w:eastAsia="zh-CN"/>
              </w:rPr>
              <w:t>。</w:t>
            </w:r>
          </w:p>
          <w:p>
            <w:pPr>
              <w:pStyle w:val="29"/>
              <w:widowControl w:val="0"/>
              <w:numPr>
                <w:ilvl w:val="0"/>
                <w:numId w:val="23"/>
              </w:numPr>
              <w:shd w:val="clear" w:color="auto" w:fill="auto"/>
              <w:tabs>
                <w:tab w:val="left" w:pos="216"/>
              </w:tabs>
              <w:spacing w:before="0" w:after="0" w:line="302" w:lineRule="exact"/>
              <w:ind w:left="0" w:right="0" w:firstLine="0"/>
              <w:jc w:val="both"/>
              <w:rPr>
                <w:sz w:val="20"/>
                <w:szCs w:val="20"/>
              </w:rPr>
            </w:pPr>
            <w:r>
              <w:rPr>
                <w:color w:val="000000"/>
                <w:spacing w:val="0"/>
                <w:w w:val="100"/>
                <w:position w:val="0"/>
                <w:sz w:val="20"/>
                <w:szCs w:val="20"/>
              </w:rPr>
              <w:t>实验室检查生长激素</w:t>
            </w:r>
            <w:r>
              <w:rPr>
                <w:color w:val="000000"/>
                <w:spacing w:val="0"/>
                <w:w w:val="100"/>
                <w:position w:val="0"/>
                <w:sz w:val="20"/>
                <w:szCs w:val="20"/>
                <w:lang w:val="en-US" w:eastAsia="en-US" w:bidi="en-US"/>
              </w:rPr>
              <w:t>（GH）、</w:t>
            </w:r>
            <w:r>
              <w:rPr>
                <w:color w:val="000000"/>
                <w:spacing w:val="0"/>
                <w:w w:val="100"/>
                <w:position w:val="0"/>
                <w:sz w:val="20"/>
                <w:szCs w:val="20"/>
              </w:rPr>
              <w:t>胰岛样生长因子</w:t>
            </w:r>
            <w:r>
              <w:rPr>
                <w:color w:val="000000"/>
                <w:spacing w:val="0"/>
                <w:w w:val="100"/>
                <w:position w:val="0"/>
                <w:sz w:val="20"/>
                <w:szCs w:val="20"/>
                <w:lang w:val="en-US" w:eastAsia="en-US" w:bidi="en-US"/>
              </w:rPr>
              <w:t>（IGF-1）、GH</w:t>
            </w:r>
            <w:r>
              <w:rPr>
                <w:color w:val="000000"/>
                <w:spacing w:val="0"/>
                <w:w w:val="100"/>
                <w:position w:val="0"/>
                <w:sz w:val="20"/>
                <w:szCs w:val="20"/>
              </w:rPr>
              <w:t>刺激试验结果符合诊断标准。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506"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40</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5" w:lineRule="exact"/>
              <w:ind w:left="0" w:right="0" w:firstLine="200"/>
              <w:jc w:val="both"/>
              <w:rPr>
                <w:sz w:val="20"/>
                <w:szCs w:val="20"/>
              </w:rPr>
            </w:pPr>
            <w:r>
              <w:rPr>
                <w:color w:val="000000"/>
                <w:spacing w:val="0"/>
                <w:w w:val="100"/>
                <w:position w:val="0"/>
                <w:sz w:val="20"/>
                <w:szCs w:val="20"/>
              </w:rPr>
              <w:t>脑瘫、视 力、听力、</w:t>
            </w:r>
          </w:p>
          <w:p>
            <w:pPr>
              <w:pStyle w:val="29"/>
              <w:widowControl w:val="0"/>
              <w:shd w:val="clear" w:color="auto" w:fill="auto"/>
              <w:spacing w:before="0" w:after="0" w:line="315" w:lineRule="exact"/>
              <w:ind w:left="0" w:right="0" w:firstLine="0"/>
              <w:jc w:val="center"/>
              <w:rPr>
                <w:sz w:val="20"/>
                <w:szCs w:val="20"/>
              </w:rPr>
            </w:pPr>
            <w:r>
              <w:rPr>
                <w:color w:val="000000"/>
                <w:spacing w:val="0"/>
                <w:w w:val="100"/>
                <w:position w:val="0"/>
                <w:sz w:val="20"/>
                <w:szCs w:val="20"/>
              </w:rPr>
              <w:t>言语、智力、肢体等</w:t>
            </w:r>
          </w:p>
          <w:p>
            <w:pPr>
              <w:pStyle w:val="29"/>
              <w:widowControl w:val="0"/>
              <w:shd w:val="clear" w:color="auto" w:fill="auto"/>
              <w:spacing w:before="0" w:after="0" w:line="315" w:lineRule="exact"/>
              <w:ind w:left="0" w:right="0" w:firstLine="0"/>
              <w:jc w:val="center"/>
              <w:rPr>
                <w:sz w:val="20"/>
                <w:szCs w:val="20"/>
              </w:rPr>
            </w:pPr>
            <w:r>
              <w:rPr>
                <w:color w:val="000000"/>
                <w:spacing w:val="0"/>
                <w:w w:val="100"/>
                <w:position w:val="0"/>
                <w:sz w:val="20"/>
                <w:szCs w:val="20"/>
              </w:rPr>
              <w:t>残疾儿童和孤独症儿童康复 治疗</w:t>
            </w:r>
          </w:p>
        </w:tc>
        <w:tc>
          <w:tcPr>
            <w:tcW w:w="7382"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按照鲁医保发〔2019〕51号文件执行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1"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41</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肺结核、肺外其他部位结核</w:t>
            </w:r>
          </w:p>
        </w:tc>
        <w:tc>
          <w:tcPr>
            <w:tcW w:w="7382"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按照鲁医保发〔2021〕26号文件执行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42</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9" w:lineRule="exact"/>
              <w:ind w:left="0" w:right="0" w:firstLine="0"/>
              <w:jc w:val="center"/>
              <w:rPr>
                <w:sz w:val="20"/>
                <w:szCs w:val="20"/>
              </w:rPr>
            </w:pPr>
            <w:r>
              <w:rPr>
                <w:color w:val="000000"/>
                <w:spacing w:val="0"/>
                <w:w w:val="100"/>
                <w:position w:val="0"/>
                <w:sz w:val="20"/>
                <w:szCs w:val="20"/>
              </w:rPr>
              <w:t>耐多药结 核、广泛耐药结核</w:t>
            </w:r>
          </w:p>
        </w:tc>
        <w:tc>
          <w:tcPr>
            <w:tcW w:w="7382"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按照鲁医保发〔 2021〕26号文件执行（包括单耐利福平结核）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1"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43</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02" w:lineRule="exact"/>
              <w:ind w:left="180" w:right="0" w:firstLine="20"/>
              <w:jc w:val="left"/>
              <w:rPr>
                <w:sz w:val="20"/>
                <w:szCs w:val="20"/>
              </w:rPr>
            </w:pPr>
            <w:r>
              <w:rPr>
                <w:color w:val="000000"/>
                <w:spacing w:val="0"/>
                <w:w w:val="100"/>
                <w:position w:val="0"/>
                <w:sz w:val="20"/>
                <w:szCs w:val="20"/>
              </w:rPr>
              <w:t>慢性乙型 病毒性肝</w:t>
            </w:r>
          </w:p>
          <w:p>
            <w:pPr>
              <w:pStyle w:val="29"/>
              <w:widowControl w:val="0"/>
              <w:shd w:val="clear" w:color="auto" w:fill="auto"/>
              <w:spacing w:before="0" w:after="0" w:line="302" w:lineRule="exact"/>
              <w:ind w:left="0" w:right="0" w:firstLine="0"/>
              <w:jc w:val="center"/>
              <w:rPr>
                <w:sz w:val="20"/>
                <w:szCs w:val="20"/>
              </w:rPr>
            </w:pPr>
            <w:r>
              <w:rPr>
                <w:color w:val="000000"/>
                <w:spacing w:val="0"/>
                <w:w w:val="100"/>
                <w:position w:val="0"/>
                <w:sz w:val="20"/>
                <w:szCs w:val="20"/>
              </w:rPr>
              <w:t>炎</w:t>
            </w:r>
          </w:p>
        </w:tc>
        <w:tc>
          <w:tcPr>
            <w:tcW w:w="7382"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按照鲁医保发〔 2021〕26号文件执行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44</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2" w:lineRule="exact"/>
              <w:ind w:left="180" w:right="0" w:firstLine="20"/>
              <w:jc w:val="left"/>
              <w:rPr>
                <w:sz w:val="20"/>
                <w:szCs w:val="20"/>
              </w:rPr>
            </w:pPr>
            <w:r>
              <w:rPr>
                <w:color w:val="000000"/>
                <w:spacing w:val="0"/>
                <w:w w:val="100"/>
                <w:position w:val="0"/>
                <w:sz w:val="20"/>
                <w:szCs w:val="20"/>
              </w:rPr>
              <w:t>慢性丙型 病毒性肝</w:t>
            </w:r>
          </w:p>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炎</w:t>
            </w:r>
          </w:p>
        </w:tc>
        <w:tc>
          <w:tcPr>
            <w:tcW w:w="7382"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按照鲁医保发〔 2021〕26号文件执行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22" w:hRule="exact"/>
          <w:jc w:val="center"/>
        </w:trPr>
        <w:tc>
          <w:tcPr>
            <w:tcW w:w="696"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45</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肝硬化</w:t>
            </w:r>
          </w:p>
        </w:tc>
        <w:tc>
          <w:tcPr>
            <w:tcW w:w="7382"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按照鲁医保发〔2021〕26号文件执行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46</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0" w:lineRule="exact"/>
              <w:ind w:left="180" w:right="0" w:firstLine="20"/>
              <w:jc w:val="left"/>
              <w:rPr>
                <w:sz w:val="20"/>
                <w:szCs w:val="20"/>
              </w:rPr>
            </w:pPr>
            <w:r>
              <w:rPr>
                <w:color w:val="000000"/>
                <w:spacing w:val="0"/>
                <w:w w:val="100"/>
                <w:position w:val="0"/>
                <w:sz w:val="20"/>
                <w:szCs w:val="20"/>
              </w:rPr>
              <w:t>神经系统 良性肿瘤 门诊治疗</w:t>
            </w:r>
          </w:p>
        </w:tc>
        <w:tc>
          <w:tcPr>
            <w:tcW w:w="7382" w:type="dxa"/>
            <w:tcBorders>
              <w:top w:val="single" w:color="auto" w:sz="4" w:space="0"/>
              <w:left w:val="single" w:color="auto" w:sz="4" w:space="0"/>
              <w:right w:val="single" w:color="auto" w:sz="4" w:space="0"/>
            </w:tcBorders>
            <w:shd w:val="clear" w:color="auto" w:fill="FFFFFF"/>
            <w:vAlign w:val="center"/>
          </w:tcPr>
          <w:p>
            <w:pPr>
              <w:pStyle w:val="29"/>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经二级及以上医疗机构住院或门诊明确诊断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46"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47</w:t>
            </w:r>
          </w:p>
        </w:tc>
        <w:tc>
          <w:tcPr>
            <w:tcW w:w="126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2" w:lineRule="exact"/>
              <w:ind w:left="180" w:right="0" w:firstLine="20"/>
              <w:jc w:val="left"/>
              <w:rPr>
                <w:sz w:val="20"/>
                <w:szCs w:val="20"/>
              </w:rPr>
            </w:pPr>
            <w:r>
              <w:rPr>
                <w:color w:val="000000"/>
                <w:spacing w:val="0"/>
                <w:w w:val="100"/>
                <w:position w:val="0"/>
                <w:sz w:val="20"/>
                <w:szCs w:val="20"/>
              </w:rPr>
              <w:t>进行性肌 营养不良</w:t>
            </w:r>
          </w:p>
        </w:tc>
        <w:tc>
          <w:tcPr>
            <w:tcW w:w="7382" w:type="dxa"/>
            <w:tcBorders>
              <w:top w:val="single" w:color="auto" w:sz="4" w:space="0"/>
              <w:left w:val="single" w:color="auto" w:sz="4" w:space="0"/>
              <w:right w:val="single" w:color="auto" w:sz="4" w:space="0"/>
            </w:tcBorders>
            <w:shd w:val="clear" w:color="auto" w:fill="FFFFFF"/>
            <w:vAlign w:val="top"/>
          </w:tcPr>
          <w:p>
            <w:pPr>
              <w:pStyle w:val="29"/>
              <w:widowControl w:val="0"/>
              <w:shd w:val="clear" w:color="auto" w:fill="auto"/>
              <w:spacing w:before="0" w:after="0" w:line="312" w:lineRule="exact"/>
              <w:ind w:left="0" w:right="0" w:firstLine="0"/>
              <w:jc w:val="both"/>
              <w:rPr>
                <w:sz w:val="20"/>
                <w:szCs w:val="20"/>
              </w:rPr>
            </w:pPr>
            <w:r>
              <w:rPr>
                <w:color w:val="000000"/>
                <w:spacing w:val="0"/>
                <w:w w:val="100"/>
                <w:position w:val="0"/>
                <w:sz w:val="20"/>
                <w:szCs w:val="20"/>
              </w:rPr>
              <w:t>根据病史、临床表现、生化检查、肌电图检查、基因检测，部分病例可肌肉活检明确诊断。</w:t>
            </w:r>
          </w:p>
          <w:p>
            <w:pPr>
              <w:pStyle w:val="29"/>
              <w:widowControl w:val="0"/>
              <w:shd w:val="clear" w:color="auto" w:fill="auto"/>
              <w:spacing w:before="0" w:after="0" w:line="312" w:lineRule="exact"/>
              <w:ind w:left="0" w:right="0" w:firstLine="0"/>
              <w:jc w:val="both"/>
              <w:rPr>
                <w:sz w:val="20"/>
                <w:szCs w:val="20"/>
              </w:rPr>
            </w:pPr>
            <w:r>
              <w:rPr>
                <w:color w:val="000000"/>
                <w:spacing w:val="0"/>
                <w:w w:val="100"/>
                <w:position w:val="0"/>
                <w:sz w:val="20"/>
                <w:szCs w:val="20"/>
              </w:rPr>
              <w:t>经二级及以上医疗机构诊断。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87" w:hRule="exact"/>
          <w:jc w:val="center"/>
        </w:trPr>
        <w:tc>
          <w:tcPr>
            <w:tcW w:w="696"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48</w:t>
            </w:r>
          </w:p>
        </w:tc>
        <w:tc>
          <w:tcPr>
            <w:tcW w:w="1267"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98" w:lineRule="exact"/>
              <w:ind w:left="0" w:right="0" w:firstLine="0"/>
              <w:jc w:val="center"/>
              <w:rPr>
                <w:sz w:val="20"/>
                <w:szCs w:val="20"/>
              </w:rPr>
            </w:pPr>
            <w:r>
              <w:rPr>
                <w:color w:val="000000"/>
                <w:spacing w:val="0"/>
                <w:w w:val="100"/>
                <w:position w:val="0"/>
                <w:sz w:val="20"/>
                <w:szCs w:val="20"/>
              </w:rPr>
              <w:t xml:space="preserve">人类免疫缺陷病 </w:t>
            </w:r>
            <w:r>
              <w:rPr>
                <w:color w:val="000000"/>
                <w:spacing w:val="0"/>
                <w:w w:val="100"/>
                <w:position w:val="0"/>
                <w:sz w:val="20"/>
                <w:szCs w:val="20"/>
                <w:lang w:val="en-US" w:eastAsia="en-US" w:bidi="en-US"/>
              </w:rPr>
              <w:t>（HIV）</w:t>
            </w:r>
          </w:p>
        </w:tc>
        <w:tc>
          <w:tcPr>
            <w:tcW w:w="738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
              <w:widowControl w:val="0"/>
              <w:numPr>
                <w:ilvl w:val="0"/>
                <w:numId w:val="24"/>
              </w:numPr>
              <w:shd w:val="clear" w:color="auto" w:fill="auto"/>
              <w:tabs>
                <w:tab w:val="left" w:pos="211"/>
              </w:tabs>
              <w:spacing w:before="0" w:after="0" w:line="311" w:lineRule="exact"/>
              <w:ind w:left="0" w:right="0" w:firstLine="0"/>
              <w:jc w:val="both"/>
              <w:rPr>
                <w:sz w:val="20"/>
                <w:szCs w:val="20"/>
              </w:rPr>
            </w:pPr>
            <w:r>
              <w:rPr>
                <w:color w:val="000000"/>
                <w:spacing w:val="0"/>
                <w:w w:val="100"/>
                <w:position w:val="0"/>
                <w:sz w:val="20"/>
                <w:szCs w:val="20"/>
              </w:rPr>
              <w:t>经疾病预防控制中心或者经认证的医疗机构确证实验室出具确证报告，符合 抗逆转录病毒治疗指征或既往已接收抗逆转录病毒治疗者（必要条件）</w:t>
            </w:r>
          </w:p>
          <w:p>
            <w:pPr>
              <w:pStyle w:val="29"/>
              <w:widowControl w:val="0"/>
              <w:numPr>
                <w:ilvl w:val="0"/>
                <w:numId w:val="24"/>
              </w:numPr>
              <w:shd w:val="clear" w:color="auto" w:fill="auto"/>
              <w:tabs>
                <w:tab w:val="left" w:pos="202"/>
              </w:tabs>
              <w:spacing w:before="0" w:after="0" w:line="311" w:lineRule="exact"/>
              <w:ind w:left="0" w:right="0" w:firstLine="0"/>
              <w:jc w:val="both"/>
              <w:rPr>
                <w:sz w:val="20"/>
                <w:szCs w:val="20"/>
              </w:rPr>
            </w:pPr>
            <w:r>
              <w:rPr>
                <w:color w:val="000000"/>
                <w:spacing w:val="0"/>
                <w:w w:val="100"/>
                <w:position w:val="0"/>
                <w:sz w:val="20"/>
                <w:szCs w:val="20"/>
                <w:lang w:val="en-US" w:eastAsia="en-US" w:bidi="en-US"/>
              </w:rPr>
              <w:t>HIV</w:t>
            </w:r>
            <w:r>
              <w:rPr>
                <w:color w:val="000000"/>
                <w:spacing w:val="0"/>
                <w:w w:val="100"/>
                <w:position w:val="0"/>
                <w:sz w:val="20"/>
                <w:szCs w:val="20"/>
              </w:rPr>
              <w:t>抗体筛查试验有反应和核酸定性试验阳性；</w:t>
            </w:r>
            <w:r>
              <w:rPr>
                <w:color w:val="000000"/>
                <w:spacing w:val="0"/>
                <w:w w:val="100"/>
                <w:position w:val="0"/>
                <w:sz w:val="20"/>
                <w:szCs w:val="20"/>
                <w:lang w:val="en-US" w:eastAsia="en-US" w:bidi="en-US"/>
              </w:rPr>
              <w:t>HIV</w:t>
            </w:r>
            <w:r>
              <w:rPr>
                <w:color w:val="000000"/>
                <w:spacing w:val="0"/>
                <w:w w:val="100"/>
                <w:position w:val="0"/>
                <w:sz w:val="20"/>
                <w:szCs w:val="20"/>
              </w:rPr>
              <w:t>抗体筛查试验有反应和核酸定量试验</w:t>
            </w:r>
            <w:r>
              <w:rPr>
                <w:color w:val="000000"/>
                <w:spacing w:val="0"/>
                <w:w w:val="100"/>
                <w:position w:val="0"/>
                <w:sz w:val="20"/>
                <w:szCs w:val="20"/>
                <w:lang w:val="en-US" w:eastAsia="en-US" w:bidi="en-US"/>
              </w:rPr>
              <w:t>＞5000CPs/mL,</w:t>
            </w:r>
            <w:r>
              <w:rPr>
                <w:color w:val="000000"/>
                <w:spacing w:val="0"/>
                <w:w w:val="100"/>
                <w:position w:val="0"/>
                <w:sz w:val="20"/>
                <w:szCs w:val="20"/>
              </w:rPr>
              <w:t>（必要条件）</w:t>
            </w:r>
          </w:p>
          <w:p>
            <w:pPr>
              <w:pStyle w:val="29"/>
              <w:widowControl w:val="0"/>
              <w:shd w:val="clear" w:color="auto" w:fill="auto"/>
              <w:spacing w:before="0" w:after="0" w:line="311" w:lineRule="exact"/>
              <w:ind w:left="0" w:right="0" w:firstLine="0"/>
              <w:jc w:val="both"/>
              <w:rPr>
                <w:sz w:val="20"/>
                <w:szCs w:val="20"/>
              </w:rPr>
            </w:pPr>
            <w:r>
              <w:rPr>
                <w:color w:val="000000"/>
                <w:spacing w:val="0"/>
                <w:w w:val="100"/>
                <w:position w:val="0"/>
                <w:sz w:val="20"/>
                <w:szCs w:val="20"/>
                <w:lang w:val="en-US" w:eastAsia="en-US" w:bidi="en-US"/>
              </w:rPr>
              <w:t>3.18</w:t>
            </w:r>
            <w:r>
              <w:rPr>
                <w:color w:val="000000"/>
                <w:spacing w:val="0"/>
                <w:w w:val="100"/>
                <w:position w:val="0"/>
                <w:sz w:val="20"/>
                <w:szCs w:val="20"/>
              </w:rPr>
              <w:t>月龄及以下儿童：为人类获得性免疫缺陷病毒感染母亲所生和人类获得性免疫缺 陷病毒分离实验结果阳性或两次人类获得性免疫缺陷病毒核酸检测阳性（第二次需 在出生6周后进行）、有医源性暴露史和人类获得性免疫缺陷病毒分离实验结果阳 性或两次人类获得性免疫缺陷病毒核酸检测阳性。（必要条件）</w:t>
            </w:r>
          </w:p>
          <w:p>
            <w:pPr>
              <w:pStyle w:val="29"/>
              <w:widowControl w:val="0"/>
              <w:shd w:val="clear" w:color="auto" w:fill="auto"/>
              <w:spacing w:before="0" w:after="0" w:line="311" w:lineRule="exact"/>
              <w:ind w:left="0" w:right="0" w:firstLine="0"/>
              <w:jc w:val="both"/>
              <w:rPr>
                <w:sz w:val="20"/>
                <w:szCs w:val="20"/>
              </w:rPr>
            </w:pPr>
            <w:r>
              <w:rPr>
                <w:color w:val="000000"/>
                <w:spacing w:val="0"/>
                <w:w w:val="100"/>
                <w:position w:val="0"/>
                <w:sz w:val="20"/>
                <w:szCs w:val="20"/>
                <w:lang w:val="en-US" w:eastAsia="en-US" w:bidi="en-US"/>
              </w:rPr>
              <w:t>—</w:t>
            </w:r>
            <w:r>
              <w:rPr>
                <w:color w:val="000000"/>
                <w:spacing w:val="0"/>
                <w:w w:val="100"/>
                <w:position w:val="0"/>
                <w:sz w:val="20"/>
                <w:szCs w:val="20"/>
              </w:rPr>
              <w:t>准入标准：必要条件一条。</w:t>
            </w:r>
          </w:p>
        </w:tc>
      </w:tr>
    </w:tbl>
    <w:p>
      <w:pPr>
        <w:widowControl w:val="0"/>
        <w:spacing w:line="1" w:lineRule="exact"/>
      </w:pPr>
      <w:r>
        <w:br w:type="page"/>
      </w:r>
    </w:p>
    <w:tbl>
      <w:tblPr>
        <w:tblStyle w:val="15"/>
        <w:tblW w:w="93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96"/>
        <w:gridCol w:w="831"/>
        <w:gridCol w:w="78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50" w:hRule="exact"/>
          <w:jc w:val="center"/>
        </w:trPr>
        <w:tc>
          <w:tcPr>
            <w:tcW w:w="9340" w:type="dxa"/>
            <w:gridSpan w:val="3"/>
            <w:tcBorders>
              <w:top w:val="single" w:color="auto" w:sz="4" w:space="0"/>
              <w:left w:val="single" w:color="auto" w:sz="4" w:space="0"/>
              <w:right w:val="single" w:color="auto" w:sz="4" w:space="0"/>
            </w:tcBorders>
            <w:shd w:val="clear" w:color="auto" w:fill="FFFFFF"/>
            <w:vAlign w:val="bottom"/>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滨州市过渡期病种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194"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49</w:t>
            </w:r>
          </w:p>
        </w:tc>
        <w:tc>
          <w:tcPr>
            <w:tcW w:w="83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扩张性心肌病</w:t>
            </w:r>
          </w:p>
        </w:tc>
        <w:tc>
          <w:tcPr>
            <w:tcW w:w="781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25"/>
              </w:numPr>
              <w:shd w:val="clear" w:color="auto" w:fill="auto"/>
              <w:tabs>
                <w:tab w:val="left" w:pos="197"/>
              </w:tabs>
              <w:spacing w:before="0" w:after="0" w:line="317" w:lineRule="exact"/>
              <w:ind w:left="0" w:right="0" w:firstLine="0"/>
              <w:jc w:val="left"/>
              <w:rPr>
                <w:sz w:val="20"/>
                <w:szCs w:val="20"/>
              </w:rPr>
            </w:pPr>
            <w:r>
              <w:rPr>
                <w:color w:val="000000"/>
                <w:spacing w:val="0"/>
                <w:w w:val="100"/>
                <w:position w:val="0"/>
                <w:sz w:val="20"/>
                <w:szCs w:val="20"/>
              </w:rPr>
              <w:t>具有二级及以上医院的住院病历。</w:t>
            </w:r>
          </w:p>
          <w:p>
            <w:pPr>
              <w:pStyle w:val="29"/>
              <w:widowControl w:val="0"/>
              <w:numPr>
                <w:ilvl w:val="0"/>
                <w:numId w:val="25"/>
              </w:numPr>
              <w:shd w:val="clear" w:color="auto" w:fill="auto"/>
              <w:tabs>
                <w:tab w:val="left" w:pos="211"/>
              </w:tabs>
              <w:spacing w:before="0" w:after="0" w:line="317" w:lineRule="exact"/>
              <w:ind w:left="0" w:right="0" w:firstLine="0"/>
              <w:jc w:val="left"/>
              <w:rPr>
                <w:sz w:val="20"/>
                <w:szCs w:val="20"/>
              </w:rPr>
            </w:pPr>
            <w:r>
              <w:rPr>
                <w:color w:val="000000"/>
                <w:spacing w:val="0"/>
                <w:w w:val="100"/>
                <w:position w:val="0"/>
                <w:sz w:val="20"/>
                <w:szCs w:val="20"/>
              </w:rPr>
              <w:t>具有与该心脏病相关的病史及相应的临床表现（疲乏、活动胸闷、气短、呼 吸困难、夜间憋醒等）及体症（心界扩大、肺底湿罗音、肝大、颈静脉怒张、 双下肢浮肿等）。</w:t>
            </w:r>
          </w:p>
          <w:p>
            <w:pPr>
              <w:pStyle w:val="29"/>
              <w:widowControl w:val="0"/>
              <w:numPr>
                <w:ilvl w:val="0"/>
                <w:numId w:val="25"/>
              </w:numPr>
              <w:shd w:val="clear" w:color="auto" w:fill="auto"/>
              <w:tabs>
                <w:tab w:val="left" w:pos="197"/>
              </w:tabs>
              <w:spacing w:before="0" w:after="0" w:line="326" w:lineRule="exact"/>
              <w:ind w:left="0" w:right="0" w:firstLine="0"/>
              <w:jc w:val="left"/>
              <w:rPr>
                <w:sz w:val="20"/>
                <w:szCs w:val="20"/>
              </w:rPr>
            </w:pPr>
            <w:r>
              <w:rPr>
                <w:color w:val="000000"/>
                <w:spacing w:val="0"/>
                <w:w w:val="100"/>
                <w:position w:val="0"/>
                <w:sz w:val="20"/>
                <w:szCs w:val="20"/>
              </w:rPr>
              <w:t>相关的影象检查及化验结果（如心电图、彩色多普勒、X线片、磁共振、血液 化验等）符合该心脏病之诊断。</w:t>
            </w:r>
          </w:p>
          <w:p>
            <w:pPr>
              <w:pStyle w:val="29"/>
              <w:widowControl w:val="0"/>
              <w:numPr>
                <w:ilvl w:val="0"/>
                <w:numId w:val="25"/>
              </w:numPr>
              <w:shd w:val="clear" w:color="auto" w:fill="auto"/>
              <w:tabs>
                <w:tab w:val="left" w:pos="206"/>
              </w:tabs>
              <w:spacing w:before="0" w:after="0" w:line="317" w:lineRule="exact"/>
              <w:ind w:left="0" w:right="0" w:firstLine="0"/>
              <w:jc w:val="left"/>
              <w:rPr>
                <w:sz w:val="20"/>
                <w:szCs w:val="20"/>
              </w:rPr>
            </w:pPr>
            <w:r>
              <w:rPr>
                <w:color w:val="000000"/>
                <w:spacing w:val="0"/>
                <w:w w:val="100"/>
                <w:position w:val="0"/>
                <w:sz w:val="20"/>
                <w:szCs w:val="20"/>
              </w:rPr>
              <w:t>具备以上三条且伴有心功能分级II级以上。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189"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50</w:t>
            </w:r>
          </w:p>
        </w:tc>
        <w:tc>
          <w:tcPr>
            <w:tcW w:w="83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22" w:lineRule="exact"/>
              <w:ind w:left="160" w:right="0" w:firstLine="20"/>
              <w:jc w:val="left"/>
              <w:rPr>
                <w:sz w:val="20"/>
                <w:szCs w:val="20"/>
              </w:rPr>
            </w:pPr>
            <w:r>
              <w:rPr>
                <w:color w:val="000000"/>
                <w:spacing w:val="0"/>
                <w:w w:val="100"/>
                <w:position w:val="0"/>
                <w:sz w:val="20"/>
                <w:szCs w:val="20"/>
              </w:rPr>
              <w:t>风湿性心 脏瓣膜病</w:t>
            </w:r>
          </w:p>
        </w:tc>
        <w:tc>
          <w:tcPr>
            <w:tcW w:w="781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26"/>
              </w:numPr>
              <w:shd w:val="clear" w:color="auto" w:fill="auto"/>
              <w:tabs>
                <w:tab w:val="left" w:pos="202"/>
              </w:tabs>
              <w:spacing w:before="0" w:after="0" w:line="318" w:lineRule="exact"/>
              <w:ind w:left="0" w:right="0" w:firstLine="0"/>
              <w:jc w:val="left"/>
              <w:rPr>
                <w:sz w:val="20"/>
                <w:szCs w:val="20"/>
              </w:rPr>
            </w:pPr>
            <w:r>
              <w:rPr>
                <w:color w:val="000000"/>
                <w:spacing w:val="0"/>
                <w:w w:val="100"/>
                <w:position w:val="0"/>
                <w:sz w:val="20"/>
                <w:szCs w:val="20"/>
              </w:rPr>
              <w:t>具有二级及以上医院的住院病历。</w:t>
            </w:r>
          </w:p>
          <w:p>
            <w:pPr>
              <w:pStyle w:val="29"/>
              <w:widowControl w:val="0"/>
              <w:numPr>
                <w:ilvl w:val="0"/>
                <w:numId w:val="26"/>
              </w:numPr>
              <w:shd w:val="clear" w:color="auto" w:fill="auto"/>
              <w:tabs>
                <w:tab w:val="left" w:pos="211"/>
              </w:tabs>
              <w:spacing w:before="0" w:after="0" w:line="314" w:lineRule="exact"/>
              <w:ind w:left="0" w:right="0" w:firstLine="0"/>
              <w:jc w:val="left"/>
              <w:rPr>
                <w:sz w:val="20"/>
                <w:szCs w:val="20"/>
              </w:rPr>
            </w:pPr>
            <w:r>
              <w:rPr>
                <w:color w:val="000000"/>
                <w:spacing w:val="0"/>
                <w:w w:val="100"/>
                <w:position w:val="0"/>
                <w:sz w:val="20"/>
                <w:szCs w:val="20"/>
              </w:rPr>
              <w:t>具有与该心脏病相关的病史及相应的临床表现（疲乏、活动胸闷、气短、呼吸困难、夜间憋醒等）及体症（心界扩大、肺底湿罗音、肝大、颈静脉怒张、 双下肢浮肿等）。</w:t>
            </w:r>
          </w:p>
          <w:p>
            <w:pPr>
              <w:pStyle w:val="29"/>
              <w:widowControl w:val="0"/>
              <w:numPr>
                <w:ilvl w:val="0"/>
                <w:numId w:val="26"/>
              </w:numPr>
              <w:shd w:val="clear" w:color="auto" w:fill="auto"/>
              <w:tabs>
                <w:tab w:val="left" w:pos="202"/>
              </w:tabs>
              <w:spacing w:before="0" w:after="0" w:line="322" w:lineRule="exact"/>
              <w:ind w:left="0" w:right="0" w:firstLine="0"/>
              <w:jc w:val="left"/>
              <w:rPr>
                <w:sz w:val="20"/>
                <w:szCs w:val="20"/>
              </w:rPr>
            </w:pPr>
            <w:r>
              <w:rPr>
                <w:color w:val="000000"/>
                <w:spacing w:val="0"/>
                <w:w w:val="100"/>
                <w:position w:val="0"/>
                <w:sz w:val="20"/>
                <w:szCs w:val="20"/>
              </w:rPr>
              <w:t>相关的影象检查及化验结果（如心电图、彩色多普勒、X线片、共振、血液化 验等）符合该心脏病之诊断</w:t>
            </w:r>
            <w:r>
              <w:rPr>
                <w:rFonts w:hint="eastAsia"/>
                <w:color w:val="000000"/>
                <w:spacing w:val="0"/>
                <w:w w:val="100"/>
                <w:position w:val="0"/>
                <w:sz w:val="20"/>
                <w:szCs w:val="20"/>
                <w:lang w:eastAsia="zh-CN"/>
              </w:rPr>
              <w:t>。</w:t>
            </w:r>
          </w:p>
          <w:p>
            <w:pPr>
              <w:pStyle w:val="29"/>
              <w:widowControl w:val="0"/>
              <w:numPr>
                <w:ilvl w:val="0"/>
                <w:numId w:val="26"/>
              </w:numPr>
              <w:shd w:val="clear" w:color="auto" w:fill="auto"/>
              <w:tabs>
                <w:tab w:val="left" w:pos="211"/>
              </w:tabs>
              <w:spacing w:before="0" w:after="0" w:line="322" w:lineRule="exact"/>
              <w:ind w:left="0" w:right="0" w:firstLine="0"/>
              <w:jc w:val="left"/>
              <w:rPr>
                <w:sz w:val="20"/>
                <w:szCs w:val="20"/>
              </w:rPr>
            </w:pPr>
            <w:r>
              <w:rPr>
                <w:color w:val="000000"/>
                <w:spacing w:val="0"/>
                <w:w w:val="100"/>
                <w:position w:val="0"/>
                <w:sz w:val="20"/>
                <w:szCs w:val="20"/>
              </w:rPr>
              <w:t>具备以上三条且伴有心功能分级II级以上。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501"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51</w:t>
            </w:r>
          </w:p>
        </w:tc>
        <w:tc>
          <w:tcPr>
            <w:tcW w:w="83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支气管哮喘</w:t>
            </w:r>
          </w:p>
        </w:tc>
        <w:tc>
          <w:tcPr>
            <w:tcW w:w="781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27"/>
              </w:numPr>
              <w:shd w:val="clear" w:color="auto" w:fill="auto"/>
              <w:tabs>
                <w:tab w:val="left" w:pos="206"/>
              </w:tabs>
              <w:spacing w:before="0" w:after="0" w:line="312" w:lineRule="exact"/>
              <w:ind w:left="0" w:right="0" w:firstLine="0"/>
              <w:jc w:val="left"/>
              <w:rPr>
                <w:sz w:val="20"/>
                <w:szCs w:val="20"/>
              </w:rPr>
            </w:pPr>
            <w:r>
              <w:rPr>
                <w:color w:val="000000"/>
                <w:spacing w:val="0"/>
                <w:w w:val="100"/>
                <w:position w:val="0"/>
                <w:sz w:val="20"/>
                <w:szCs w:val="20"/>
              </w:rPr>
              <w:t>反复发作、胸闷、或顽固性咳嗽，抗过敏、解痉、平喘等药物有明显疗效， 经住院确诊为支气管哮喘。</w:t>
            </w:r>
          </w:p>
          <w:p>
            <w:pPr>
              <w:pStyle w:val="29"/>
              <w:widowControl w:val="0"/>
              <w:numPr>
                <w:ilvl w:val="0"/>
                <w:numId w:val="27"/>
              </w:numPr>
              <w:shd w:val="clear" w:color="auto" w:fill="auto"/>
              <w:tabs>
                <w:tab w:val="left" w:pos="216"/>
              </w:tabs>
              <w:spacing w:before="0" w:after="0" w:line="312" w:lineRule="exact"/>
              <w:ind w:left="0" w:right="0" w:firstLine="0"/>
              <w:jc w:val="left"/>
              <w:rPr>
                <w:sz w:val="20"/>
                <w:szCs w:val="20"/>
              </w:rPr>
            </w:pPr>
            <w:r>
              <w:rPr>
                <w:color w:val="000000"/>
                <w:spacing w:val="0"/>
                <w:w w:val="100"/>
                <w:position w:val="0"/>
                <w:sz w:val="20"/>
                <w:szCs w:val="20"/>
              </w:rPr>
              <w:t>动脉血气分析:</w:t>
            </w:r>
            <w:r>
              <w:rPr>
                <w:color w:val="000000"/>
                <w:spacing w:val="0"/>
                <w:w w:val="100"/>
                <w:position w:val="0"/>
                <w:sz w:val="20"/>
                <w:szCs w:val="20"/>
                <w:lang w:val="en-US" w:eastAsia="en-US" w:bidi="en-US"/>
              </w:rPr>
              <w:t>Pa02</w:t>
            </w:r>
            <w:r>
              <w:rPr>
                <w:color w:val="000000"/>
                <w:spacing w:val="0"/>
                <w:w w:val="100"/>
                <w:position w:val="0"/>
                <w:sz w:val="20"/>
                <w:szCs w:val="20"/>
              </w:rPr>
              <w:t>降低,</w:t>
            </w:r>
            <w:r>
              <w:rPr>
                <w:color w:val="000000"/>
                <w:spacing w:val="0"/>
                <w:w w:val="100"/>
                <w:position w:val="0"/>
                <w:sz w:val="20"/>
                <w:szCs w:val="20"/>
                <w:lang w:val="en-US" w:eastAsia="en-US" w:bidi="en-US"/>
              </w:rPr>
              <w:t>PaCO2</w:t>
            </w:r>
            <w:r>
              <w:rPr>
                <w:color w:val="000000"/>
                <w:spacing w:val="0"/>
                <w:w w:val="100"/>
                <w:position w:val="0"/>
                <w:sz w:val="20"/>
                <w:szCs w:val="20"/>
              </w:rPr>
              <w:t>升高或降低。</w:t>
            </w:r>
          </w:p>
          <w:p>
            <w:pPr>
              <w:pStyle w:val="29"/>
              <w:widowControl w:val="0"/>
              <w:numPr>
                <w:ilvl w:val="0"/>
                <w:numId w:val="0"/>
              </w:numPr>
              <w:shd w:val="clear" w:color="auto" w:fill="auto"/>
              <w:tabs>
                <w:tab w:val="left" w:pos="197"/>
              </w:tabs>
              <w:spacing w:before="0" w:after="0" w:line="312" w:lineRule="exact"/>
              <w:ind w:leftChars="0" w:right="0" w:rightChars="0"/>
              <w:jc w:val="left"/>
              <w:rPr>
                <w:sz w:val="20"/>
                <w:szCs w:val="20"/>
              </w:rPr>
            </w:pPr>
            <w:r>
              <w:rPr>
                <w:rFonts w:hint="eastAsia"/>
                <w:color w:val="000000"/>
                <w:spacing w:val="0"/>
                <w:w w:val="100"/>
                <w:position w:val="0"/>
                <w:sz w:val="20"/>
                <w:szCs w:val="20"/>
                <w:lang w:val="en-US" w:eastAsia="zh-CN"/>
              </w:rPr>
              <w:t>3.</w:t>
            </w:r>
            <w:r>
              <w:rPr>
                <w:color w:val="000000"/>
                <w:spacing w:val="0"/>
                <w:w w:val="100"/>
                <w:position w:val="0"/>
                <w:sz w:val="20"/>
                <w:szCs w:val="20"/>
              </w:rPr>
              <w:t>血液检查：发作时可见嗜酸性粒细胞增高。</w:t>
            </w:r>
          </w:p>
          <w:p>
            <w:pPr>
              <w:pStyle w:val="29"/>
              <w:widowControl w:val="0"/>
              <w:numPr>
                <w:ilvl w:val="0"/>
                <w:numId w:val="0"/>
              </w:numPr>
              <w:shd w:val="clear" w:color="auto" w:fill="auto"/>
              <w:tabs>
                <w:tab w:val="left" w:pos="206"/>
              </w:tabs>
              <w:spacing w:before="0" w:after="0" w:line="312" w:lineRule="exact"/>
              <w:ind w:leftChars="0" w:right="0" w:rightChars="0"/>
              <w:jc w:val="left"/>
              <w:rPr>
                <w:sz w:val="20"/>
                <w:szCs w:val="20"/>
              </w:rPr>
            </w:pPr>
            <w:r>
              <w:rPr>
                <w:rFonts w:hint="eastAsia"/>
                <w:color w:val="000000"/>
                <w:spacing w:val="0"/>
                <w:w w:val="100"/>
                <w:position w:val="0"/>
                <w:sz w:val="20"/>
                <w:szCs w:val="20"/>
                <w:lang w:val="en-US" w:eastAsia="zh-CN"/>
              </w:rPr>
              <w:t>4.</w:t>
            </w:r>
            <w:r>
              <w:rPr>
                <w:color w:val="000000"/>
                <w:spacing w:val="0"/>
                <w:w w:val="100"/>
                <w:position w:val="0"/>
                <w:sz w:val="20"/>
                <w:szCs w:val="20"/>
              </w:rPr>
              <w:t>过敏原检验：皮试结果阳性，血清</w:t>
            </w:r>
            <w:r>
              <w:rPr>
                <w:color w:val="000000"/>
                <w:spacing w:val="0"/>
                <w:w w:val="100"/>
                <w:position w:val="0"/>
                <w:sz w:val="20"/>
                <w:szCs w:val="20"/>
                <w:lang w:val="en-US" w:eastAsia="en-US" w:bidi="en-US"/>
              </w:rPr>
              <w:t>LgE</w:t>
            </w:r>
            <w:r>
              <w:rPr>
                <w:color w:val="000000"/>
                <w:spacing w:val="0"/>
                <w:w w:val="100"/>
                <w:position w:val="0"/>
                <w:sz w:val="20"/>
                <w:szCs w:val="20"/>
              </w:rPr>
              <w:t>增高</w:t>
            </w:r>
            <w:r>
              <w:rPr>
                <w:rFonts w:hint="eastAsia"/>
                <w:color w:val="000000"/>
                <w:spacing w:val="0"/>
                <w:w w:val="100"/>
                <w:position w:val="0"/>
                <w:sz w:val="20"/>
                <w:szCs w:val="20"/>
                <w:lang w:eastAsia="zh-CN"/>
              </w:rPr>
              <w:t>。</w:t>
            </w:r>
          </w:p>
          <w:p>
            <w:pPr>
              <w:pStyle w:val="29"/>
              <w:widowControl w:val="0"/>
              <w:numPr>
                <w:ilvl w:val="0"/>
                <w:numId w:val="0"/>
              </w:numPr>
              <w:shd w:val="clear" w:color="auto" w:fill="auto"/>
              <w:tabs>
                <w:tab w:val="left" w:pos="211"/>
              </w:tabs>
              <w:spacing w:before="0" w:after="0" w:line="312" w:lineRule="exact"/>
              <w:ind w:leftChars="0" w:right="0" w:rightChars="0"/>
              <w:jc w:val="left"/>
              <w:rPr>
                <w:sz w:val="20"/>
                <w:szCs w:val="20"/>
              </w:rPr>
            </w:pPr>
            <w:r>
              <w:rPr>
                <w:rFonts w:hint="eastAsia"/>
                <w:color w:val="000000"/>
                <w:spacing w:val="0"/>
                <w:w w:val="100"/>
                <w:position w:val="0"/>
                <w:sz w:val="20"/>
                <w:szCs w:val="20"/>
                <w:lang w:val="en-US" w:eastAsia="zh-CN"/>
              </w:rPr>
              <w:t>5.</w:t>
            </w:r>
            <w:r>
              <w:rPr>
                <w:color w:val="000000"/>
                <w:spacing w:val="0"/>
                <w:w w:val="100"/>
                <w:position w:val="0"/>
                <w:sz w:val="20"/>
                <w:szCs w:val="20"/>
              </w:rPr>
              <w:t>呼吸功能检查：</w:t>
            </w:r>
            <w:r>
              <w:rPr>
                <w:color w:val="000000"/>
                <w:spacing w:val="0"/>
                <w:w w:val="100"/>
                <w:position w:val="0"/>
                <w:sz w:val="20"/>
                <w:szCs w:val="20"/>
                <w:lang w:val="en-US" w:eastAsia="en-US" w:bidi="en-US"/>
              </w:rPr>
              <w:t>PEF</w:t>
            </w:r>
            <w:r>
              <w:rPr>
                <w:color w:val="000000"/>
                <w:spacing w:val="0"/>
                <w:w w:val="100"/>
                <w:position w:val="0"/>
                <w:sz w:val="20"/>
                <w:szCs w:val="20"/>
              </w:rPr>
              <w:t>和</w:t>
            </w:r>
            <w:r>
              <w:rPr>
                <w:color w:val="000000"/>
                <w:spacing w:val="0"/>
                <w:w w:val="100"/>
                <w:position w:val="0"/>
                <w:sz w:val="20"/>
                <w:szCs w:val="20"/>
                <w:lang w:val="en-US" w:eastAsia="en-US" w:bidi="en-US"/>
              </w:rPr>
              <w:t>FEV1</w:t>
            </w:r>
            <w:r>
              <w:rPr>
                <w:color w:val="000000"/>
                <w:spacing w:val="0"/>
                <w:w w:val="100"/>
                <w:position w:val="0"/>
                <w:sz w:val="20"/>
                <w:szCs w:val="20"/>
              </w:rPr>
              <w:t>测定值降低，支气管激发试验或舒张试验结果阳性。</w:t>
            </w:r>
          </w:p>
          <w:p>
            <w:pPr>
              <w:pStyle w:val="29"/>
              <w:widowControl w:val="0"/>
              <w:numPr>
                <w:ilvl w:val="0"/>
                <w:numId w:val="0"/>
              </w:numPr>
              <w:shd w:val="clear" w:color="auto" w:fill="auto"/>
              <w:tabs>
                <w:tab w:val="left" w:pos="202"/>
              </w:tabs>
              <w:spacing w:before="0" w:after="0" w:line="312" w:lineRule="exact"/>
              <w:ind w:leftChars="0" w:right="0" w:rightChars="0"/>
              <w:jc w:val="left"/>
              <w:rPr>
                <w:sz w:val="20"/>
                <w:szCs w:val="20"/>
              </w:rPr>
            </w:pPr>
            <w:r>
              <w:rPr>
                <w:rFonts w:hint="eastAsia"/>
                <w:color w:val="000000"/>
                <w:spacing w:val="0"/>
                <w:w w:val="100"/>
                <w:position w:val="0"/>
                <w:sz w:val="20"/>
                <w:szCs w:val="20"/>
                <w:lang w:val="en-US" w:eastAsia="zh-CN"/>
              </w:rPr>
              <w:t>6.</w:t>
            </w:r>
            <w:r>
              <w:rPr>
                <w:color w:val="000000"/>
                <w:spacing w:val="0"/>
                <w:w w:val="100"/>
                <w:position w:val="0"/>
                <w:sz w:val="20"/>
                <w:szCs w:val="20"/>
              </w:rPr>
              <w:t>符合第1条及</w:t>
            </w:r>
            <w:r>
              <w:rPr>
                <w:color w:val="000000"/>
                <w:spacing w:val="0"/>
                <w:w w:val="100"/>
                <w:position w:val="0"/>
                <w:sz w:val="20"/>
                <w:szCs w:val="20"/>
                <w:lang w:val="en-US" w:eastAsia="en-US" w:bidi="en-US"/>
              </w:rPr>
              <w:t>2-5</w:t>
            </w:r>
            <w:r>
              <w:rPr>
                <w:color w:val="000000"/>
                <w:spacing w:val="0"/>
                <w:w w:val="100"/>
                <w:position w:val="0"/>
                <w:sz w:val="20"/>
                <w:szCs w:val="20"/>
              </w:rPr>
              <w:t>其中一条可确定。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501" w:hRule="exact"/>
          <w:jc w:val="center"/>
        </w:trPr>
        <w:tc>
          <w:tcPr>
            <w:tcW w:w="69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52</w:t>
            </w:r>
          </w:p>
        </w:tc>
        <w:tc>
          <w:tcPr>
            <w:tcW w:w="831"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7" w:lineRule="exact"/>
              <w:ind w:left="0" w:right="0" w:firstLine="0"/>
              <w:jc w:val="center"/>
              <w:rPr>
                <w:sz w:val="20"/>
                <w:szCs w:val="20"/>
              </w:rPr>
            </w:pPr>
            <w:r>
              <w:rPr>
                <w:color w:val="000000"/>
                <w:spacing w:val="0"/>
                <w:w w:val="100"/>
                <w:position w:val="0"/>
                <w:sz w:val="20"/>
                <w:szCs w:val="20"/>
              </w:rPr>
              <w:t>永久性甲状腺功能减退</w:t>
            </w:r>
          </w:p>
        </w:tc>
        <w:tc>
          <w:tcPr>
            <w:tcW w:w="781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28"/>
              </w:numPr>
              <w:shd w:val="clear" w:color="auto" w:fill="auto"/>
              <w:tabs>
                <w:tab w:val="left" w:pos="230"/>
              </w:tabs>
              <w:spacing w:before="0" w:after="0" w:line="307" w:lineRule="exact"/>
              <w:ind w:left="0" w:right="0" w:firstLine="0"/>
              <w:jc w:val="left"/>
              <w:rPr>
                <w:sz w:val="20"/>
                <w:szCs w:val="20"/>
              </w:rPr>
            </w:pPr>
            <w:r>
              <w:rPr>
                <w:color w:val="000000"/>
                <w:spacing w:val="0"/>
                <w:w w:val="100"/>
                <w:position w:val="0"/>
                <w:sz w:val="20"/>
                <w:szCs w:val="20"/>
              </w:rPr>
              <w:t>甲状腺功能减退症的临床表现：代谢率减低和交感神经兴奋性下降的症候群，畏寒、乏力、嗜睡、健忘、手足肿胀感、少汗、体重增加、便秘等。或者有甲 状腺手术或甲亢1311治疗史。</w:t>
            </w:r>
          </w:p>
          <w:p>
            <w:pPr>
              <w:pStyle w:val="29"/>
              <w:widowControl w:val="0"/>
              <w:numPr>
                <w:ilvl w:val="0"/>
                <w:numId w:val="28"/>
              </w:numPr>
              <w:shd w:val="clear" w:color="auto" w:fill="auto"/>
              <w:tabs>
                <w:tab w:val="left" w:pos="202"/>
              </w:tabs>
              <w:spacing w:before="0" w:after="0" w:line="307" w:lineRule="exact"/>
              <w:ind w:left="0" w:right="0" w:firstLine="0"/>
              <w:jc w:val="left"/>
              <w:rPr>
                <w:sz w:val="20"/>
                <w:szCs w:val="20"/>
              </w:rPr>
            </w:pPr>
            <w:r>
              <w:rPr>
                <w:rFonts w:hint="eastAsia"/>
                <w:color w:val="000000"/>
                <w:spacing w:val="0"/>
                <w:w w:val="100"/>
                <w:position w:val="0"/>
                <w:sz w:val="20"/>
                <w:szCs w:val="20"/>
                <w:lang w:val="en-US" w:eastAsia="zh-CN"/>
              </w:rPr>
              <w:t>甲</w:t>
            </w:r>
            <w:r>
              <w:rPr>
                <w:color w:val="000000"/>
                <w:spacing w:val="0"/>
                <w:w w:val="100"/>
                <w:position w:val="0"/>
                <w:sz w:val="20"/>
                <w:szCs w:val="20"/>
              </w:rPr>
              <w:t>状腺功能化验检查符合原发性甲状腺功能减退症的诊断标准：</w:t>
            </w:r>
            <w:r>
              <w:rPr>
                <w:color w:val="000000"/>
                <w:spacing w:val="0"/>
                <w:w w:val="100"/>
                <w:position w:val="0"/>
                <w:sz w:val="20"/>
                <w:szCs w:val="20"/>
                <w:lang w:val="en-US" w:eastAsia="en-US" w:bidi="en-US"/>
              </w:rPr>
              <w:t>TSH</w:t>
            </w:r>
            <w:r>
              <w:rPr>
                <w:color w:val="000000"/>
                <w:spacing w:val="0"/>
                <w:w w:val="100"/>
                <w:position w:val="0"/>
                <w:sz w:val="20"/>
                <w:szCs w:val="20"/>
              </w:rPr>
              <w:t>升高、</w:t>
            </w:r>
            <w:r>
              <w:rPr>
                <w:color w:val="000000"/>
                <w:spacing w:val="0"/>
                <w:w w:val="100"/>
                <w:position w:val="0"/>
                <w:sz w:val="20"/>
                <w:szCs w:val="20"/>
                <w:lang w:val="en-US" w:eastAsia="en-US" w:bidi="en-US"/>
              </w:rPr>
              <w:t xml:space="preserve">FT4 </w:t>
            </w:r>
            <w:r>
              <w:rPr>
                <w:color w:val="000000"/>
                <w:spacing w:val="0"/>
                <w:w w:val="100"/>
                <w:position w:val="0"/>
                <w:sz w:val="20"/>
                <w:szCs w:val="20"/>
              </w:rPr>
              <w:t>降低。</w:t>
            </w:r>
          </w:p>
          <w:p>
            <w:pPr>
              <w:pStyle w:val="29"/>
              <w:widowControl w:val="0"/>
              <w:numPr>
                <w:numId w:val="0"/>
              </w:numPr>
              <w:shd w:val="clear" w:color="auto" w:fill="auto"/>
              <w:tabs>
                <w:tab w:val="left" w:pos="197"/>
              </w:tabs>
              <w:spacing w:before="0" w:after="0" w:line="307" w:lineRule="exact"/>
              <w:ind w:leftChars="0" w:right="0" w:rightChars="0"/>
              <w:jc w:val="left"/>
              <w:rPr>
                <w:sz w:val="20"/>
                <w:szCs w:val="20"/>
              </w:rPr>
            </w:pPr>
            <w:r>
              <w:rPr>
                <w:rFonts w:hint="eastAsia"/>
                <w:color w:val="000000"/>
                <w:spacing w:val="0"/>
                <w:w w:val="100"/>
                <w:position w:val="0"/>
                <w:sz w:val="20"/>
                <w:szCs w:val="20"/>
                <w:lang w:val="en-US" w:eastAsia="zh-CN"/>
              </w:rPr>
              <w:t>3.多</w:t>
            </w:r>
            <w:bookmarkStart w:id="161" w:name="_GoBack"/>
            <w:bookmarkEnd w:id="161"/>
            <w:r>
              <w:rPr>
                <w:color w:val="000000"/>
                <w:spacing w:val="0"/>
                <w:w w:val="100"/>
                <w:position w:val="0"/>
                <w:sz w:val="20"/>
                <w:szCs w:val="20"/>
              </w:rPr>
              <w:t>种原因所致的中枢性甲状腺功能减退症：垂体或下丘脑疾病所致</w:t>
            </w:r>
            <w:r>
              <w:rPr>
                <w:color w:val="000000"/>
                <w:spacing w:val="0"/>
                <w:w w:val="100"/>
                <w:position w:val="0"/>
                <w:sz w:val="20"/>
                <w:szCs w:val="20"/>
                <w:lang w:val="en-US" w:eastAsia="en-US" w:bidi="en-US"/>
              </w:rPr>
              <w:t>TSH</w:t>
            </w:r>
            <w:r>
              <w:rPr>
                <w:color w:val="000000"/>
                <w:spacing w:val="0"/>
                <w:w w:val="100"/>
                <w:position w:val="0"/>
                <w:sz w:val="20"/>
                <w:szCs w:val="20"/>
              </w:rPr>
              <w:t>正常或 降低、</w:t>
            </w:r>
            <w:r>
              <w:rPr>
                <w:color w:val="000000"/>
                <w:spacing w:val="0"/>
                <w:w w:val="100"/>
                <w:position w:val="0"/>
                <w:sz w:val="20"/>
                <w:szCs w:val="20"/>
                <w:lang w:val="en-US" w:eastAsia="en-US" w:bidi="en-US"/>
              </w:rPr>
              <w:t>FT4</w:t>
            </w:r>
            <w:r>
              <w:rPr>
                <w:color w:val="000000"/>
                <w:spacing w:val="0"/>
                <w:w w:val="100"/>
                <w:position w:val="0"/>
                <w:sz w:val="20"/>
                <w:szCs w:val="20"/>
              </w:rPr>
              <w:t>降低需长期激素替代治疗者。</w:t>
            </w:r>
          </w:p>
          <w:p>
            <w:pPr>
              <w:pStyle w:val="29"/>
              <w:widowControl w:val="0"/>
              <w:numPr>
                <w:ilvl w:val="0"/>
                <w:numId w:val="28"/>
              </w:numPr>
              <w:shd w:val="clear" w:color="auto" w:fill="auto"/>
              <w:tabs>
                <w:tab w:val="left" w:pos="206"/>
              </w:tabs>
              <w:spacing w:before="0" w:after="0" w:line="307" w:lineRule="exact"/>
              <w:ind w:left="0" w:right="0" w:firstLine="0"/>
              <w:jc w:val="left"/>
              <w:rPr>
                <w:sz w:val="20"/>
                <w:szCs w:val="20"/>
              </w:rPr>
            </w:pPr>
            <w:r>
              <w:rPr>
                <w:color w:val="000000"/>
                <w:spacing w:val="0"/>
                <w:w w:val="100"/>
                <w:position w:val="0"/>
                <w:sz w:val="20"/>
                <w:szCs w:val="20"/>
              </w:rPr>
              <w:t>符合第1条及2、3其中一条可确定。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837" w:hRule="exact"/>
          <w:jc w:val="center"/>
        </w:trPr>
        <w:tc>
          <w:tcPr>
            <w:tcW w:w="696"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53</w:t>
            </w:r>
          </w:p>
        </w:tc>
        <w:tc>
          <w:tcPr>
            <w:tcW w:w="831"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脑垂体瘤</w:t>
            </w:r>
          </w:p>
        </w:tc>
        <w:tc>
          <w:tcPr>
            <w:tcW w:w="7813" w:type="dxa"/>
            <w:tcBorders>
              <w:top w:val="single" w:color="auto" w:sz="4" w:space="0"/>
              <w:left w:val="single" w:color="auto" w:sz="4" w:space="0"/>
              <w:bottom w:val="single" w:color="auto" w:sz="4" w:space="0"/>
              <w:right w:val="single" w:color="auto" w:sz="4" w:space="0"/>
            </w:tcBorders>
            <w:shd w:val="clear" w:color="auto" w:fill="FFFFFF"/>
            <w:vAlign w:val="top"/>
          </w:tcPr>
          <w:p>
            <w:pPr>
              <w:pStyle w:val="29"/>
              <w:widowControl w:val="0"/>
              <w:numPr>
                <w:ilvl w:val="0"/>
                <w:numId w:val="29"/>
              </w:numPr>
              <w:shd w:val="clear" w:color="auto" w:fill="auto"/>
              <w:tabs>
                <w:tab w:val="left" w:pos="202"/>
              </w:tabs>
              <w:spacing w:before="0" w:after="0" w:line="312" w:lineRule="exact"/>
              <w:ind w:left="0" w:right="0" w:firstLine="0"/>
              <w:jc w:val="left"/>
              <w:rPr>
                <w:sz w:val="20"/>
                <w:szCs w:val="20"/>
              </w:rPr>
            </w:pPr>
            <w:r>
              <w:rPr>
                <w:color w:val="000000"/>
                <w:spacing w:val="0"/>
                <w:w w:val="100"/>
                <w:position w:val="0"/>
                <w:sz w:val="20"/>
                <w:szCs w:val="20"/>
              </w:rPr>
              <w:t>有激素分泌异常的临床表现：</w:t>
            </w:r>
          </w:p>
          <w:p>
            <w:pPr>
              <w:pStyle w:val="29"/>
              <w:widowControl w:val="0"/>
              <w:shd w:val="clear" w:color="auto" w:fill="auto"/>
              <w:tabs>
                <w:tab w:val="left" w:pos="499"/>
              </w:tabs>
              <w:spacing w:before="0" w:after="0" w:line="312" w:lineRule="exact"/>
              <w:ind w:left="0" w:right="0" w:firstLine="160"/>
              <w:jc w:val="left"/>
              <w:rPr>
                <w:sz w:val="20"/>
                <w:szCs w:val="20"/>
              </w:rPr>
            </w:pPr>
            <w:r>
              <w:rPr>
                <w:color w:val="000000"/>
                <w:spacing w:val="0"/>
                <w:w w:val="100"/>
                <w:position w:val="0"/>
                <w:sz w:val="20"/>
                <w:szCs w:val="20"/>
              </w:rPr>
              <w:t>（1）</w:t>
            </w:r>
            <w:r>
              <w:rPr>
                <w:color w:val="000000"/>
                <w:spacing w:val="0"/>
                <w:w w:val="100"/>
                <w:position w:val="0"/>
                <w:sz w:val="20"/>
                <w:szCs w:val="20"/>
              </w:rPr>
              <w:tab/>
            </w:r>
            <w:r>
              <w:rPr>
                <w:color w:val="000000"/>
                <w:spacing w:val="0"/>
                <w:w w:val="100"/>
                <w:position w:val="0"/>
                <w:sz w:val="20"/>
                <w:szCs w:val="20"/>
              </w:rPr>
              <w:t>激素分泌增多所致的症候群：巨人症或肢端肥大症、闭经泌乳、库欣病、 甲状腺功能亢进症等；</w:t>
            </w:r>
          </w:p>
          <w:p>
            <w:pPr>
              <w:pStyle w:val="29"/>
              <w:widowControl w:val="0"/>
              <w:shd w:val="clear" w:color="auto" w:fill="auto"/>
              <w:tabs>
                <w:tab w:val="left" w:pos="509"/>
              </w:tabs>
              <w:spacing w:before="0" w:after="0" w:line="312" w:lineRule="exact"/>
              <w:ind w:left="0" w:right="0" w:firstLine="160"/>
              <w:jc w:val="left"/>
              <w:rPr>
                <w:sz w:val="20"/>
                <w:szCs w:val="20"/>
              </w:rPr>
            </w:pPr>
            <w:r>
              <w:rPr>
                <w:color w:val="000000"/>
                <w:spacing w:val="0"/>
                <w:w w:val="100"/>
                <w:position w:val="0"/>
                <w:sz w:val="20"/>
                <w:szCs w:val="20"/>
              </w:rPr>
              <w:t>（2）</w:t>
            </w:r>
            <w:r>
              <w:rPr>
                <w:color w:val="000000"/>
                <w:spacing w:val="0"/>
                <w:w w:val="100"/>
                <w:position w:val="0"/>
                <w:sz w:val="20"/>
                <w:szCs w:val="20"/>
              </w:rPr>
              <w:tab/>
            </w:r>
            <w:r>
              <w:rPr>
                <w:color w:val="000000"/>
                <w:spacing w:val="0"/>
                <w:w w:val="100"/>
                <w:position w:val="0"/>
                <w:sz w:val="20"/>
                <w:szCs w:val="20"/>
              </w:rPr>
              <w:t>肿瘤增大压迫正常腺体组织所致激素分泌减少，可表现为继发性性腺功能 不全、肾上腺皮质功能减退、甲状腺功能减退、生长激素缺乏等。</w:t>
            </w:r>
          </w:p>
          <w:p>
            <w:pPr>
              <w:pStyle w:val="29"/>
              <w:widowControl w:val="0"/>
              <w:numPr>
                <w:ilvl w:val="0"/>
                <w:numId w:val="29"/>
              </w:numPr>
              <w:shd w:val="clear" w:color="auto" w:fill="auto"/>
              <w:tabs>
                <w:tab w:val="left" w:pos="216"/>
              </w:tabs>
              <w:spacing w:before="0" w:after="0" w:line="312" w:lineRule="exact"/>
              <w:ind w:left="0" w:right="0" w:firstLine="0"/>
              <w:jc w:val="left"/>
              <w:rPr>
                <w:sz w:val="20"/>
                <w:szCs w:val="20"/>
              </w:rPr>
            </w:pPr>
            <w:r>
              <w:rPr>
                <w:color w:val="000000"/>
                <w:spacing w:val="0"/>
                <w:w w:val="100"/>
                <w:position w:val="0"/>
                <w:sz w:val="20"/>
                <w:szCs w:val="20"/>
              </w:rPr>
              <w:t>变所致占位表现：</w:t>
            </w:r>
          </w:p>
          <w:p>
            <w:pPr>
              <w:pStyle w:val="29"/>
              <w:widowControl w:val="0"/>
              <w:shd w:val="clear" w:color="auto" w:fill="auto"/>
              <w:spacing w:before="0" w:after="0" w:line="312" w:lineRule="exact"/>
              <w:ind w:left="0" w:right="0" w:firstLine="0"/>
              <w:jc w:val="left"/>
              <w:rPr>
                <w:sz w:val="20"/>
                <w:szCs w:val="20"/>
              </w:rPr>
            </w:pPr>
            <w:r>
              <w:rPr>
                <w:color w:val="000000"/>
                <w:spacing w:val="0"/>
                <w:w w:val="100"/>
                <w:position w:val="0"/>
                <w:sz w:val="20"/>
                <w:szCs w:val="20"/>
              </w:rPr>
              <w:t>包括头痛，视力减退及视野缺损，下丘脑受压出现尿崩症、睡眠异常、食欲异常、体温调节异常、自主神经功能异常、性格改变、性早熟、性腺功能异常， 压迫第3、4、5、6脑神经所致神经肌肉系统异常等。</w:t>
            </w:r>
          </w:p>
        </w:tc>
      </w:tr>
    </w:tbl>
    <w:p>
      <w:pPr>
        <w:widowControl w:val="0"/>
        <w:spacing w:line="1" w:lineRule="exact"/>
      </w:pPr>
      <w:r>
        <w:br w:type="page"/>
      </w:r>
    </w:p>
    <w:tbl>
      <w:tblPr>
        <w:tblStyle w:val="15"/>
        <w:tblW w:w="93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86"/>
        <w:gridCol w:w="1267"/>
        <w:gridCol w:w="7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901" w:hRule="exact"/>
          <w:jc w:val="center"/>
        </w:trPr>
        <w:tc>
          <w:tcPr>
            <w:tcW w:w="686" w:type="dxa"/>
            <w:tcBorders>
              <w:top w:val="single" w:color="auto" w:sz="4" w:space="0"/>
              <w:left w:val="single" w:color="auto" w:sz="4" w:space="0"/>
            </w:tcBorders>
            <w:shd w:val="clear" w:color="auto" w:fill="FFFFFF"/>
            <w:vAlign w:val="top"/>
          </w:tcPr>
          <w:p>
            <w:pPr>
              <w:widowControl w:val="0"/>
              <w:rPr>
                <w:sz w:val="10"/>
                <w:szCs w:val="10"/>
              </w:rPr>
            </w:pPr>
          </w:p>
        </w:tc>
        <w:tc>
          <w:tcPr>
            <w:tcW w:w="1267" w:type="dxa"/>
            <w:tcBorders>
              <w:top w:val="single" w:color="auto" w:sz="4" w:space="0"/>
              <w:left w:val="single" w:color="auto" w:sz="4" w:space="0"/>
            </w:tcBorders>
            <w:shd w:val="clear" w:color="auto" w:fill="FFFFFF"/>
            <w:vAlign w:val="top"/>
          </w:tcPr>
          <w:p>
            <w:pPr>
              <w:widowControl w:val="0"/>
              <w:rPr>
                <w:sz w:val="10"/>
                <w:szCs w:val="10"/>
              </w:rPr>
            </w:pPr>
          </w:p>
        </w:tc>
        <w:tc>
          <w:tcPr>
            <w:tcW w:w="7373" w:type="dxa"/>
            <w:tcBorders>
              <w:top w:val="single" w:color="auto" w:sz="4" w:space="0"/>
              <w:left w:val="single" w:color="auto" w:sz="4" w:space="0"/>
              <w:right w:val="single" w:color="auto" w:sz="4" w:space="0"/>
            </w:tcBorders>
            <w:shd w:val="clear" w:color="auto" w:fill="FFFFFF"/>
            <w:vAlign w:val="bottom"/>
          </w:tcPr>
          <w:p>
            <w:pPr>
              <w:pStyle w:val="29"/>
              <w:widowControl w:val="0"/>
              <w:shd w:val="clear" w:color="auto" w:fill="auto"/>
              <w:spacing w:before="0" w:after="0" w:line="312" w:lineRule="exact"/>
              <w:ind w:left="0" w:right="0" w:firstLine="0"/>
              <w:jc w:val="left"/>
              <w:rPr>
                <w:sz w:val="20"/>
                <w:szCs w:val="20"/>
              </w:rPr>
            </w:pPr>
            <w:r>
              <w:rPr>
                <w:color w:val="000000"/>
                <w:spacing w:val="0"/>
                <w:w w:val="100"/>
                <w:position w:val="0"/>
                <w:sz w:val="20"/>
                <w:szCs w:val="20"/>
              </w:rPr>
              <w:t>3.验室与辅助检查资料： 相关激素化验异常、鞍区</w:t>
            </w:r>
            <w:r>
              <w:rPr>
                <w:color w:val="000000"/>
                <w:spacing w:val="0"/>
                <w:w w:val="100"/>
                <w:position w:val="0"/>
                <w:sz w:val="20"/>
                <w:szCs w:val="20"/>
                <w:lang w:val="en-US" w:eastAsia="en-US" w:bidi="en-US"/>
              </w:rPr>
              <w:t>CT</w:t>
            </w:r>
            <w:r>
              <w:rPr>
                <w:color w:val="000000"/>
                <w:spacing w:val="0"/>
                <w:w w:val="100"/>
                <w:position w:val="0"/>
                <w:sz w:val="20"/>
                <w:szCs w:val="20"/>
              </w:rPr>
              <w:t>或垂体</w:t>
            </w:r>
            <w:r>
              <w:rPr>
                <w:color w:val="000000"/>
                <w:spacing w:val="0"/>
                <w:w w:val="100"/>
                <w:position w:val="0"/>
                <w:sz w:val="20"/>
                <w:szCs w:val="20"/>
                <w:lang w:val="en-US" w:eastAsia="en-US" w:bidi="en-US"/>
              </w:rPr>
              <w:t>MRI</w:t>
            </w:r>
            <w:r>
              <w:rPr>
                <w:color w:val="000000"/>
                <w:spacing w:val="0"/>
                <w:w w:val="100"/>
                <w:position w:val="0"/>
                <w:sz w:val="20"/>
                <w:szCs w:val="20"/>
              </w:rPr>
              <w:t>扫描资料证实垂体瘤诊断。</w:t>
            </w:r>
          </w:p>
          <w:p>
            <w:pPr>
              <w:pStyle w:val="29"/>
              <w:widowControl w:val="0"/>
              <w:shd w:val="clear" w:color="auto" w:fill="auto"/>
              <w:spacing w:before="0" w:after="0" w:line="312" w:lineRule="exact"/>
              <w:ind w:left="0" w:right="0" w:firstLine="0"/>
              <w:jc w:val="left"/>
              <w:rPr>
                <w:sz w:val="20"/>
                <w:szCs w:val="20"/>
              </w:rPr>
            </w:pPr>
            <w:r>
              <w:rPr>
                <w:color w:val="000000"/>
                <w:spacing w:val="0"/>
                <w:w w:val="100"/>
                <w:position w:val="0"/>
                <w:sz w:val="20"/>
                <w:szCs w:val="20"/>
              </w:rPr>
              <w:t>4</w:t>
            </w:r>
            <w:r>
              <w:rPr>
                <w:rFonts w:hint="eastAsia"/>
                <w:color w:val="000000"/>
                <w:spacing w:val="0"/>
                <w:w w:val="100"/>
                <w:position w:val="0"/>
                <w:sz w:val="20"/>
                <w:szCs w:val="20"/>
                <w:lang w:eastAsia="zh-CN"/>
              </w:rPr>
              <w:t>.</w:t>
            </w:r>
            <w:r>
              <w:rPr>
                <w:color w:val="000000"/>
                <w:spacing w:val="0"/>
                <w:w w:val="100"/>
                <w:position w:val="0"/>
                <w:sz w:val="20"/>
                <w:szCs w:val="20"/>
              </w:rPr>
              <w:t>术及放射治疗后或肿瘤压迫所致相关靶腺功能减退需要长期激素替代治疗者。</w:t>
            </w:r>
          </w:p>
          <w:p>
            <w:pPr>
              <w:pStyle w:val="29"/>
              <w:widowControl w:val="0"/>
              <w:numPr>
                <w:ilvl w:val="0"/>
                <w:numId w:val="30"/>
              </w:numPr>
              <w:shd w:val="clear" w:color="auto" w:fill="auto"/>
              <w:tabs>
                <w:tab w:val="left" w:pos="206"/>
              </w:tabs>
              <w:spacing w:before="0" w:after="0" w:line="312" w:lineRule="exact"/>
              <w:ind w:left="0" w:right="0" w:firstLine="0"/>
              <w:jc w:val="left"/>
              <w:rPr>
                <w:sz w:val="20"/>
                <w:szCs w:val="20"/>
              </w:rPr>
            </w:pPr>
            <w:r>
              <w:rPr>
                <w:color w:val="000000"/>
                <w:spacing w:val="0"/>
                <w:w w:val="100"/>
                <w:position w:val="0"/>
                <w:sz w:val="20"/>
                <w:szCs w:val="20"/>
              </w:rPr>
              <w:t>手术治疗需要长期药物治疗者：垂体泌乳素瘤、生长激素瘤、</w:t>
            </w:r>
            <w:r>
              <w:rPr>
                <w:color w:val="000000"/>
                <w:spacing w:val="0"/>
                <w:w w:val="100"/>
                <w:position w:val="0"/>
                <w:sz w:val="20"/>
                <w:szCs w:val="20"/>
                <w:lang w:val="en-US" w:eastAsia="en-US" w:bidi="en-US"/>
              </w:rPr>
              <w:t>TSH</w:t>
            </w:r>
            <w:r>
              <w:rPr>
                <w:color w:val="000000"/>
                <w:spacing w:val="0"/>
                <w:w w:val="100"/>
                <w:position w:val="0"/>
                <w:sz w:val="20"/>
                <w:szCs w:val="20"/>
              </w:rPr>
              <w:t>瘤等。</w:t>
            </w:r>
          </w:p>
          <w:p>
            <w:pPr>
              <w:pStyle w:val="29"/>
              <w:widowControl w:val="0"/>
              <w:numPr>
                <w:ilvl w:val="0"/>
                <w:numId w:val="30"/>
              </w:numPr>
              <w:shd w:val="clear" w:color="auto" w:fill="auto"/>
              <w:tabs>
                <w:tab w:val="left" w:pos="206"/>
              </w:tabs>
              <w:spacing w:before="0" w:after="0" w:line="312" w:lineRule="exact"/>
              <w:ind w:left="0" w:right="0" w:firstLine="0"/>
              <w:jc w:val="left"/>
              <w:rPr>
                <w:sz w:val="20"/>
                <w:szCs w:val="20"/>
              </w:rPr>
            </w:pPr>
            <w:r>
              <w:rPr>
                <w:color w:val="000000"/>
                <w:spacing w:val="0"/>
                <w:w w:val="100"/>
                <w:position w:val="0"/>
                <w:sz w:val="20"/>
                <w:szCs w:val="20"/>
              </w:rPr>
              <w:t>符合上述第3条及1、2或4、5条中的一条即可确定。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758"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lang w:val="zh-CN" w:eastAsia="zh-CN" w:bidi="zh-CN"/>
              </w:rPr>
              <w:t>54</w:t>
            </w:r>
          </w:p>
        </w:tc>
        <w:tc>
          <w:tcPr>
            <w:tcW w:w="126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02" w:lineRule="exact"/>
              <w:ind w:left="0" w:right="0" w:firstLine="0"/>
              <w:jc w:val="center"/>
              <w:rPr>
                <w:sz w:val="20"/>
                <w:szCs w:val="20"/>
              </w:rPr>
            </w:pPr>
            <w:r>
              <w:rPr>
                <w:color w:val="000000"/>
                <w:spacing w:val="0"/>
                <w:w w:val="100"/>
                <w:position w:val="0"/>
                <w:sz w:val="20"/>
                <w:szCs w:val="20"/>
              </w:rPr>
              <w:t>溶血性贫血</w:t>
            </w:r>
          </w:p>
        </w:tc>
        <w:tc>
          <w:tcPr>
            <w:tcW w:w="7373" w:type="dxa"/>
            <w:tcBorders>
              <w:top w:val="single" w:color="auto" w:sz="4" w:space="0"/>
              <w:left w:val="single" w:color="auto" w:sz="4" w:space="0"/>
              <w:right w:val="single" w:color="auto" w:sz="4" w:space="0"/>
            </w:tcBorders>
            <w:shd w:val="clear" w:color="auto" w:fill="FFFFFF"/>
            <w:vAlign w:val="center"/>
          </w:tcPr>
          <w:p>
            <w:pPr>
              <w:pStyle w:val="29"/>
              <w:widowControl w:val="0"/>
              <w:numPr>
                <w:ilvl w:val="0"/>
                <w:numId w:val="31"/>
              </w:numPr>
              <w:shd w:val="clear" w:color="auto" w:fill="auto"/>
              <w:tabs>
                <w:tab w:val="left" w:pos="221"/>
              </w:tabs>
              <w:spacing w:before="0" w:after="60" w:line="240" w:lineRule="auto"/>
              <w:ind w:left="0" w:right="0" w:firstLine="0"/>
              <w:jc w:val="left"/>
              <w:rPr>
                <w:sz w:val="20"/>
                <w:szCs w:val="20"/>
              </w:rPr>
            </w:pPr>
            <w:r>
              <w:rPr>
                <w:color w:val="000000"/>
                <w:spacing w:val="0"/>
                <w:w w:val="100"/>
                <w:position w:val="0"/>
                <w:sz w:val="20"/>
                <w:szCs w:val="20"/>
              </w:rPr>
              <w:t>出现血液病临床症状，经住院确诊为溶血性贫血。</w:t>
            </w:r>
          </w:p>
          <w:p>
            <w:pPr>
              <w:pStyle w:val="29"/>
              <w:widowControl w:val="0"/>
              <w:numPr>
                <w:ilvl w:val="0"/>
                <w:numId w:val="31"/>
              </w:numPr>
              <w:shd w:val="clear" w:color="auto" w:fill="auto"/>
              <w:tabs>
                <w:tab w:val="left" w:pos="206"/>
              </w:tabs>
              <w:spacing w:before="0" w:after="0" w:line="240" w:lineRule="auto"/>
              <w:ind w:left="0" w:right="0" w:firstLine="0"/>
              <w:jc w:val="left"/>
              <w:rPr>
                <w:sz w:val="20"/>
                <w:szCs w:val="20"/>
              </w:rPr>
            </w:pPr>
            <w:r>
              <w:rPr>
                <w:color w:val="000000"/>
                <w:spacing w:val="0"/>
                <w:w w:val="100"/>
                <w:position w:val="0"/>
                <w:sz w:val="20"/>
                <w:szCs w:val="20"/>
              </w:rPr>
              <w:t>血液学实验室检查显示红细胞破坏过多过速及代偿性增生的特征性改变.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258"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lang w:val="zh-CN" w:eastAsia="zh-CN" w:bidi="zh-CN"/>
              </w:rPr>
              <w:t>55</w:t>
            </w:r>
          </w:p>
        </w:tc>
        <w:tc>
          <w:tcPr>
            <w:tcW w:w="126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2" w:lineRule="exact"/>
              <w:ind w:left="180" w:right="0" w:firstLine="0"/>
              <w:jc w:val="left"/>
              <w:rPr>
                <w:sz w:val="20"/>
                <w:szCs w:val="20"/>
              </w:rPr>
            </w:pPr>
            <w:r>
              <w:rPr>
                <w:color w:val="000000"/>
                <w:spacing w:val="0"/>
                <w:w w:val="100"/>
                <w:position w:val="0"/>
                <w:sz w:val="20"/>
                <w:szCs w:val="20"/>
              </w:rPr>
              <w:t>过敏性紫 瘢并肾病</w:t>
            </w:r>
          </w:p>
        </w:tc>
        <w:tc>
          <w:tcPr>
            <w:tcW w:w="737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32"/>
              </w:numPr>
              <w:shd w:val="clear" w:color="auto" w:fill="auto"/>
              <w:tabs>
                <w:tab w:val="left" w:pos="235"/>
              </w:tabs>
              <w:spacing w:before="0" w:after="0" w:line="317" w:lineRule="exact"/>
              <w:ind w:left="0" w:right="0" w:firstLine="0"/>
              <w:jc w:val="left"/>
              <w:rPr>
                <w:sz w:val="20"/>
                <w:szCs w:val="20"/>
              </w:rPr>
            </w:pPr>
            <w:r>
              <w:rPr>
                <w:color w:val="000000"/>
                <w:spacing w:val="0"/>
                <w:w w:val="100"/>
                <w:position w:val="0"/>
                <w:sz w:val="20"/>
                <w:szCs w:val="20"/>
              </w:rPr>
              <w:t>出现血液病学临床症状（病前数周低热、咽痛等，紫瘢后数周出现蛋白尿、 血尿、管型尿或肾功能改变），经住院确诊为过敏性紫瘢并紫瘢性肾炎</w:t>
            </w:r>
            <w:r>
              <w:rPr>
                <w:rFonts w:hint="eastAsia"/>
                <w:color w:val="000000"/>
                <w:spacing w:val="0"/>
                <w:w w:val="100"/>
                <w:position w:val="0"/>
                <w:sz w:val="20"/>
                <w:szCs w:val="20"/>
                <w:lang w:eastAsia="zh-CN"/>
              </w:rPr>
              <w:t>。</w:t>
            </w:r>
          </w:p>
          <w:p>
            <w:pPr>
              <w:pStyle w:val="29"/>
              <w:widowControl w:val="0"/>
              <w:numPr>
                <w:ilvl w:val="0"/>
                <w:numId w:val="32"/>
              </w:numPr>
              <w:shd w:val="clear" w:color="auto" w:fill="auto"/>
              <w:tabs>
                <w:tab w:val="left" w:pos="202"/>
              </w:tabs>
              <w:spacing w:before="0" w:after="0" w:line="317" w:lineRule="exact"/>
              <w:ind w:left="0" w:right="0" w:firstLine="0"/>
              <w:jc w:val="left"/>
              <w:rPr>
                <w:sz w:val="20"/>
                <w:szCs w:val="20"/>
              </w:rPr>
            </w:pPr>
            <w:r>
              <w:rPr>
                <w:color w:val="000000"/>
                <w:spacing w:val="0"/>
                <w:w w:val="100"/>
                <w:position w:val="0"/>
                <w:sz w:val="20"/>
                <w:szCs w:val="20"/>
              </w:rPr>
              <w:t>尿常规检查：蛋白尿（ + ）,尿红细胞（ + ）,管型</w:t>
            </w:r>
            <w:r>
              <w:rPr>
                <w:color w:val="000000"/>
                <w:spacing w:val="0"/>
                <w:w w:val="100"/>
                <w:position w:val="0"/>
                <w:sz w:val="20"/>
                <w:szCs w:val="20"/>
                <w:lang w:val="en-US" w:eastAsia="en-US" w:bidi="en-US"/>
              </w:rPr>
              <w:t>（ + ）</w:t>
            </w:r>
            <w:r>
              <w:rPr>
                <w:rFonts w:hint="eastAsia"/>
                <w:color w:val="000000"/>
                <w:spacing w:val="0"/>
                <w:w w:val="100"/>
                <w:position w:val="0"/>
                <w:sz w:val="20"/>
                <w:szCs w:val="20"/>
                <w:lang w:val="en-US" w:eastAsia="zh-CN" w:bidi="en-US"/>
              </w:rPr>
              <w:t>。</w:t>
            </w:r>
          </w:p>
          <w:p>
            <w:pPr>
              <w:pStyle w:val="29"/>
              <w:widowControl w:val="0"/>
              <w:numPr>
                <w:ilvl w:val="0"/>
                <w:numId w:val="32"/>
              </w:numPr>
              <w:shd w:val="clear" w:color="auto" w:fill="auto"/>
              <w:tabs>
                <w:tab w:val="left" w:pos="216"/>
              </w:tabs>
              <w:spacing w:before="0" w:after="0" w:line="317" w:lineRule="exact"/>
              <w:ind w:left="0" w:right="0" w:firstLine="0"/>
              <w:jc w:val="left"/>
              <w:rPr>
                <w:sz w:val="20"/>
                <w:szCs w:val="20"/>
              </w:rPr>
            </w:pPr>
            <w:r>
              <w:rPr>
                <w:color w:val="000000"/>
                <w:spacing w:val="0"/>
                <w:w w:val="100"/>
                <w:position w:val="0"/>
                <w:sz w:val="20"/>
                <w:szCs w:val="20"/>
              </w:rPr>
              <w:t>肾功能检查：血肌酊，尿素氮出现异常升高。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301"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lang w:val="zh-CN" w:eastAsia="zh-CN" w:bidi="zh-CN"/>
              </w:rPr>
              <w:t>56</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0" w:lineRule="exact"/>
              <w:ind w:left="0" w:right="0" w:firstLine="180"/>
              <w:jc w:val="left"/>
              <w:rPr>
                <w:sz w:val="20"/>
                <w:szCs w:val="20"/>
              </w:rPr>
            </w:pPr>
            <w:r>
              <w:rPr>
                <w:color w:val="000000"/>
                <w:spacing w:val="0"/>
                <w:w w:val="100"/>
                <w:position w:val="0"/>
                <w:sz w:val="20"/>
                <w:szCs w:val="20"/>
              </w:rPr>
              <w:t>静脉血栓 症（含慢性肺栓塞、深 静脉血症）</w:t>
            </w:r>
          </w:p>
        </w:tc>
        <w:tc>
          <w:tcPr>
            <w:tcW w:w="737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33"/>
              </w:numPr>
              <w:shd w:val="clear" w:color="auto" w:fill="auto"/>
              <w:tabs>
                <w:tab w:val="left" w:pos="197"/>
              </w:tabs>
              <w:spacing w:before="0" w:after="0" w:line="240" w:lineRule="auto"/>
              <w:ind w:left="0" w:right="0" w:firstLine="0"/>
              <w:jc w:val="left"/>
              <w:rPr>
                <w:sz w:val="20"/>
                <w:szCs w:val="20"/>
              </w:rPr>
            </w:pPr>
            <w:r>
              <w:rPr>
                <w:color w:val="000000"/>
                <w:spacing w:val="0"/>
                <w:w w:val="100"/>
                <w:position w:val="0"/>
                <w:sz w:val="20"/>
                <w:szCs w:val="20"/>
              </w:rPr>
              <w:t>胸痛、胸闷、咳嗽三联症，肿胀、疼痛。</w:t>
            </w:r>
          </w:p>
          <w:p>
            <w:pPr>
              <w:pStyle w:val="29"/>
              <w:widowControl w:val="0"/>
              <w:numPr>
                <w:ilvl w:val="0"/>
                <w:numId w:val="33"/>
              </w:numPr>
              <w:shd w:val="clear" w:color="auto" w:fill="auto"/>
              <w:tabs>
                <w:tab w:val="left" w:pos="206"/>
              </w:tabs>
              <w:spacing w:before="0" w:after="60" w:line="331" w:lineRule="exact"/>
              <w:ind w:left="0" w:right="0" w:firstLine="0"/>
              <w:jc w:val="left"/>
              <w:rPr>
                <w:sz w:val="20"/>
                <w:szCs w:val="20"/>
              </w:rPr>
            </w:pPr>
            <w:r>
              <w:rPr>
                <w:color w:val="000000"/>
                <w:spacing w:val="0"/>
                <w:w w:val="100"/>
                <w:position w:val="0"/>
                <w:sz w:val="20"/>
                <w:szCs w:val="20"/>
              </w:rPr>
              <w:t>检查：</w:t>
            </w:r>
            <w:r>
              <w:rPr>
                <w:color w:val="000000"/>
                <w:spacing w:val="0"/>
                <w:w w:val="100"/>
                <w:position w:val="0"/>
                <w:sz w:val="20"/>
                <w:szCs w:val="20"/>
                <w:lang w:val="en-US" w:eastAsia="en-US" w:bidi="en-US"/>
              </w:rPr>
              <w:t>CT</w:t>
            </w:r>
            <w:r>
              <w:rPr>
                <w:color w:val="000000"/>
                <w:spacing w:val="0"/>
                <w:w w:val="100"/>
                <w:position w:val="0"/>
                <w:sz w:val="20"/>
                <w:szCs w:val="20"/>
              </w:rPr>
              <w:t>肺动脉造影符合肺栓塞特点或典型临床表现+下肢静脉血栓形成；下肢静脉彩超提示深静脉血栓形。</w:t>
            </w:r>
          </w:p>
          <w:p>
            <w:pPr>
              <w:pStyle w:val="29"/>
              <w:widowControl w:val="0"/>
              <w:numPr>
                <w:ilvl w:val="0"/>
                <w:numId w:val="33"/>
              </w:numPr>
              <w:shd w:val="clear" w:color="auto" w:fill="auto"/>
              <w:tabs>
                <w:tab w:val="left" w:pos="202"/>
              </w:tabs>
              <w:spacing w:before="0" w:after="0" w:line="240" w:lineRule="auto"/>
              <w:ind w:left="0" w:right="0" w:firstLine="0"/>
              <w:jc w:val="left"/>
              <w:rPr>
                <w:sz w:val="20"/>
                <w:szCs w:val="20"/>
              </w:rPr>
            </w:pPr>
            <w:r>
              <w:rPr>
                <w:color w:val="000000"/>
                <w:spacing w:val="0"/>
                <w:w w:val="100"/>
                <w:position w:val="0"/>
                <w:sz w:val="20"/>
                <w:szCs w:val="20"/>
              </w:rPr>
              <w:t>须同时具备第1、2条。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877"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lang w:val="zh-CN" w:eastAsia="zh-CN" w:bidi="zh-CN"/>
              </w:rPr>
              <w:t>57</w:t>
            </w:r>
          </w:p>
        </w:tc>
        <w:tc>
          <w:tcPr>
            <w:tcW w:w="126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慢性肾小球肾炎</w:t>
            </w:r>
          </w:p>
        </w:tc>
        <w:tc>
          <w:tcPr>
            <w:tcW w:w="737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34"/>
              </w:numPr>
              <w:shd w:val="clear" w:color="auto" w:fill="auto"/>
              <w:tabs>
                <w:tab w:val="left" w:pos="197"/>
              </w:tabs>
              <w:spacing w:before="0" w:after="0" w:line="314" w:lineRule="exact"/>
              <w:ind w:left="0" w:right="0" w:firstLine="0"/>
              <w:jc w:val="left"/>
              <w:rPr>
                <w:sz w:val="20"/>
                <w:szCs w:val="20"/>
              </w:rPr>
            </w:pPr>
            <w:r>
              <w:rPr>
                <w:color w:val="000000"/>
                <w:spacing w:val="0"/>
                <w:w w:val="100"/>
                <w:position w:val="0"/>
                <w:sz w:val="20"/>
                <w:szCs w:val="20"/>
              </w:rPr>
              <w:t>症状体征：乏力、倦怠、腰痛、纳差，眼险或下肢水肿或高血压病史3个月以上等。</w:t>
            </w:r>
          </w:p>
          <w:p>
            <w:pPr>
              <w:pStyle w:val="29"/>
              <w:widowControl w:val="0"/>
              <w:numPr>
                <w:ilvl w:val="0"/>
                <w:numId w:val="34"/>
              </w:numPr>
              <w:shd w:val="clear" w:color="auto" w:fill="auto"/>
              <w:tabs>
                <w:tab w:val="left" w:pos="206"/>
              </w:tabs>
              <w:spacing w:before="0" w:after="0" w:line="314" w:lineRule="exact"/>
              <w:ind w:left="0" w:right="0" w:firstLine="0"/>
              <w:jc w:val="left"/>
              <w:rPr>
                <w:sz w:val="20"/>
                <w:szCs w:val="20"/>
              </w:rPr>
            </w:pPr>
            <w:r>
              <w:rPr>
                <w:color w:val="000000"/>
                <w:spacing w:val="0"/>
                <w:w w:val="100"/>
                <w:position w:val="0"/>
                <w:sz w:val="20"/>
                <w:szCs w:val="20"/>
              </w:rPr>
              <w:t>辅助检查（化验和彩超）尿检异常，有蛋白尿、血尿、管型尿等，彩超晩期可出现双侧对称性缩小，肾皮质变薄。</w:t>
            </w:r>
          </w:p>
          <w:p>
            <w:pPr>
              <w:pStyle w:val="29"/>
              <w:widowControl w:val="0"/>
              <w:numPr>
                <w:ilvl w:val="0"/>
                <w:numId w:val="34"/>
              </w:numPr>
              <w:shd w:val="clear" w:color="auto" w:fill="auto"/>
              <w:tabs>
                <w:tab w:val="left" w:pos="216"/>
              </w:tabs>
              <w:spacing w:before="0" w:after="0" w:line="314" w:lineRule="exact"/>
              <w:ind w:left="0" w:right="0" w:firstLine="0"/>
              <w:jc w:val="left"/>
              <w:rPr>
                <w:sz w:val="20"/>
                <w:szCs w:val="20"/>
              </w:rPr>
            </w:pPr>
            <w:r>
              <w:rPr>
                <w:color w:val="000000"/>
                <w:spacing w:val="0"/>
                <w:w w:val="100"/>
                <w:position w:val="0"/>
                <w:sz w:val="20"/>
                <w:szCs w:val="20"/>
              </w:rPr>
              <w:t>肾活检：可表现为不同类型的肾脏损害。</w:t>
            </w:r>
          </w:p>
          <w:p>
            <w:pPr>
              <w:pStyle w:val="29"/>
              <w:widowControl w:val="0"/>
              <w:numPr>
                <w:ilvl w:val="0"/>
                <w:numId w:val="34"/>
              </w:numPr>
              <w:shd w:val="clear" w:color="auto" w:fill="auto"/>
              <w:tabs>
                <w:tab w:val="left" w:pos="226"/>
              </w:tabs>
              <w:spacing w:before="0" w:after="0" w:line="314" w:lineRule="exact"/>
              <w:ind w:left="0" w:right="0" w:firstLine="0"/>
              <w:jc w:val="left"/>
              <w:rPr>
                <w:sz w:val="20"/>
                <w:szCs w:val="20"/>
              </w:rPr>
            </w:pPr>
            <w:r>
              <w:rPr>
                <w:color w:val="000000"/>
                <w:spacing w:val="0"/>
                <w:w w:val="100"/>
                <w:position w:val="0"/>
                <w:sz w:val="20"/>
                <w:szCs w:val="20"/>
              </w:rPr>
              <w:t>同时具备、3条或2、3条即可。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000"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lang w:val="zh-CN" w:eastAsia="zh-CN" w:bidi="zh-CN"/>
              </w:rPr>
              <w:t>58</w:t>
            </w:r>
          </w:p>
        </w:tc>
        <w:tc>
          <w:tcPr>
            <w:tcW w:w="126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22" w:lineRule="exact"/>
              <w:ind w:left="0" w:right="0" w:firstLine="0"/>
              <w:jc w:val="center"/>
              <w:rPr>
                <w:sz w:val="20"/>
                <w:szCs w:val="20"/>
              </w:rPr>
            </w:pPr>
            <w:r>
              <w:rPr>
                <w:color w:val="000000"/>
                <w:spacing w:val="0"/>
                <w:w w:val="100"/>
                <w:position w:val="0"/>
                <w:sz w:val="20"/>
                <w:szCs w:val="20"/>
              </w:rPr>
              <w:t>溃疡性结肠炎</w:t>
            </w:r>
          </w:p>
        </w:tc>
        <w:tc>
          <w:tcPr>
            <w:tcW w:w="737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35"/>
              </w:numPr>
              <w:shd w:val="clear" w:color="auto" w:fill="auto"/>
              <w:tabs>
                <w:tab w:val="left" w:pos="202"/>
              </w:tabs>
              <w:spacing w:before="0" w:after="0" w:line="331" w:lineRule="exact"/>
              <w:ind w:left="0" w:right="0" w:firstLine="0"/>
              <w:jc w:val="left"/>
              <w:rPr>
                <w:sz w:val="20"/>
                <w:szCs w:val="20"/>
              </w:rPr>
            </w:pPr>
            <w:r>
              <w:rPr>
                <w:color w:val="000000"/>
                <w:spacing w:val="0"/>
                <w:w w:val="100"/>
                <w:position w:val="0"/>
                <w:sz w:val="20"/>
                <w:szCs w:val="20"/>
              </w:rPr>
              <w:t>持续或反复发作的粘液脓血便、大便带血、腹痛、腹泻至少超过6周。</w:t>
            </w:r>
          </w:p>
          <w:p>
            <w:pPr>
              <w:pStyle w:val="29"/>
              <w:widowControl w:val="0"/>
              <w:numPr>
                <w:ilvl w:val="0"/>
                <w:numId w:val="35"/>
              </w:numPr>
              <w:shd w:val="clear" w:color="auto" w:fill="auto"/>
              <w:tabs>
                <w:tab w:val="left" w:pos="202"/>
              </w:tabs>
              <w:spacing w:before="0" w:after="60" w:line="331" w:lineRule="exact"/>
              <w:ind w:left="0" w:right="0" w:firstLine="0"/>
              <w:jc w:val="left"/>
              <w:rPr>
                <w:sz w:val="20"/>
                <w:szCs w:val="20"/>
              </w:rPr>
            </w:pPr>
            <w:r>
              <w:rPr>
                <w:color w:val="000000"/>
                <w:spacing w:val="0"/>
                <w:w w:val="100"/>
                <w:position w:val="0"/>
                <w:sz w:val="20"/>
                <w:szCs w:val="20"/>
              </w:rPr>
              <w:t>提供至少一次因溃疡性结肠炎为主要诊断的住院治疗的病历资料及门诊复诊资料</w:t>
            </w:r>
            <w:r>
              <w:rPr>
                <w:rFonts w:hint="eastAsia"/>
                <w:color w:val="000000"/>
                <w:spacing w:val="0"/>
                <w:w w:val="100"/>
                <w:position w:val="0"/>
                <w:sz w:val="20"/>
                <w:szCs w:val="20"/>
                <w:lang w:eastAsia="zh-CN"/>
              </w:rPr>
              <w:t>。</w:t>
            </w:r>
          </w:p>
          <w:p>
            <w:pPr>
              <w:pStyle w:val="29"/>
              <w:widowControl w:val="0"/>
              <w:numPr>
                <w:ilvl w:val="0"/>
                <w:numId w:val="35"/>
              </w:numPr>
              <w:shd w:val="clear" w:color="auto" w:fill="auto"/>
              <w:tabs>
                <w:tab w:val="left" w:pos="202"/>
              </w:tabs>
              <w:spacing w:before="0" w:after="0" w:line="240" w:lineRule="auto"/>
              <w:ind w:left="0" w:right="0" w:firstLine="0"/>
              <w:jc w:val="left"/>
              <w:rPr>
                <w:sz w:val="20"/>
                <w:szCs w:val="20"/>
              </w:rPr>
            </w:pPr>
            <w:r>
              <w:rPr>
                <w:color w:val="000000"/>
                <w:spacing w:val="0"/>
                <w:w w:val="100"/>
                <w:position w:val="0"/>
                <w:sz w:val="20"/>
                <w:szCs w:val="20"/>
              </w:rPr>
              <w:t>典型的电子结肠镜溃疡性结肠炎的诊断。</w:t>
            </w:r>
          </w:p>
          <w:p>
            <w:pPr>
              <w:pStyle w:val="29"/>
              <w:widowControl w:val="0"/>
              <w:numPr>
                <w:ilvl w:val="0"/>
                <w:numId w:val="35"/>
              </w:numPr>
              <w:shd w:val="clear" w:color="auto" w:fill="auto"/>
              <w:tabs>
                <w:tab w:val="left" w:pos="202"/>
              </w:tabs>
              <w:spacing w:before="0" w:after="0" w:line="331" w:lineRule="exact"/>
              <w:ind w:left="0" w:right="0" w:firstLine="0"/>
              <w:jc w:val="left"/>
              <w:rPr>
                <w:sz w:val="20"/>
                <w:szCs w:val="20"/>
              </w:rPr>
            </w:pPr>
            <w:r>
              <w:rPr>
                <w:color w:val="000000"/>
                <w:spacing w:val="0"/>
                <w:w w:val="100"/>
                <w:position w:val="0"/>
                <w:sz w:val="20"/>
                <w:szCs w:val="20"/>
              </w:rPr>
              <w:t>粘膜活检病理符合溃疡性结肠炎诊断，大便培养无致病菌。</w:t>
            </w:r>
          </w:p>
          <w:p>
            <w:pPr>
              <w:pStyle w:val="29"/>
              <w:widowControl w:val="0"/>
              <w:numPr>
                <w:ilvl w:val="0"/>
                <w:numId w:val="35"/>
              </w:numPr>
              <w:shd w:val="clear" w:color="auto" w:fill="auto"/>
              <w:tabs>
                <w:tab w:val="left" w:pos="206"/>
              </w:tabs>
              <w:spacing w:before="0" w:after="0" w:line="331" w:lineRule="exact"/>
              <w:ind w:left="0" w:right="0" w:firstLine="0"/>
              <w:jc w:val="left"/>
              <w:rPr>
                <w:sz w:val="20"/>
                <w:szCs w:val="20"/>
              </w:rPr>
            </w:pPr>
            <w:r>
              <w:rPr>
                <w:color w:val="000000"/>
                <w:spacing w:val="0"/>
                <w:w w:val="100"/>
                <w:position w:val="0"/>
                <w:sz w:val="20"/>
                <w:szCs w:val="20"/>
              </w:rPr>
              <w:t>须同时具备以上条件。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506" w:hRule="exact"/>
          <w:jc w:val="center"/>
        </w:trPr>
        <w:tc>
          <w:tcPr>
            <w:tcW w:w="686"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lang w:val="zh-CN" w:eastAsia="zh-CN" w:bidi="zh-CN"/>
              </w:rPr>
              <w:t>59</w:t>
            </w:r>
          </w:p>
        </w:tc>
        <w:tc>
          <w:tcPr>
            <w:tcW w:w="126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克罗恩病</w:t>
            </w:r>
          </w:p>
        </w:tc>
        <w:tc>
          <w:tcPr>
            <w:tcW w:w="7373"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36"/>
              </w:numPr>
              <w:shd w:val="clear" w:color="auto" w:fill="auto"/>
              <w:tabs>
                <w:tab w:val="left" w:pos="197"/>
              </w:tabs>
              <w:spacing w:before="0" w:after="0" w:line="331" w:lineRule="exact"/>
              <w:ind w:left="0" w:right="0" w:firstLine="0"/>
              <w:jc w:val="left"/>
              <w:rPr>
                <w:sz w:val="20"/>
                <w:szCs w:val="20"/>
              </w:rPr>
            </w:pPr>
            <w:r>
              <w:rPr>
                <w:color w:val="000000"/>
                <w:spacing w:val="0"/>
                <w:w w:val="100"/>
                <w:position w:val="0"/>
                <w:sz w:val="20"/>
                <w:szCs w:val="20"/>
              </w:rPr>
              <w:t>反复发作的腹痛、腹泻、腹块、痿管形成或肠梗阻。</w:t>
            </w:r>
          </w:p>
          <w:p>
            <w:pPr>
              <w:pStyle w:val="29"/>
              <w:widowControl w:val="0"/>
              <w:numPr>
                <w:ilvl w:val="0"/>
                <w:numId w:val="36"/>
              </w:numPr>
              <w:shd w:val="clear" w:color="auto" w:fill="auto"/>
              <w:tabs>
                <w:tab w:val="left" w:pos="230"/>
              </w:tabs>
              <w:spacing w:before="0" w:after="0" w:line="331" w:lineRule="exact"/>
              <w:ind w:left="0" w:right="0" w:firstLine="0"/>
              <w:jc w:val="left"/>
              <w:rPr>
                <w:sz w:val="20"/>
                <w:szCs w:val="20"/>
              </w:rPr>
            </w:pPr>
            <w:r>
              <w:rPr>
                <w:color w:val="000000"/>
                <w:spacing w:val="0"/>
                <w:w w:val="100"/>
                <w:position w:val="0"/>
                <w:sz w:val="20"/>
                <w:szCs w:val="20"/>
              </w:rPr>
              <w:t>内镜或</w:t>
            </w:r>
            <w:r>
              <w:rPr>
                <w:color w:val="000000"/>
                <w:spacing w:val="0"/>
                <w:w w:val="100"/>
                <w:position w:val="0"/>
                <w:sz w:val="20"/>
                <w:szCs w:val="20"/>
                <w:lang w:val="en-US" w:eastAsia="en-US" w:bidi="en-US"/>
              </w:rPr>
              <w:t>CTE、MRI</w:t>
            </w:r>
            <w:r>
              <w:rPr>
                <w:color w:val="000000"/>
                <w:spacing w:val="0"/>
                <w:w w:val="100"/>
                <w:position w:val="0"/>
                <w:sz w:val="20"/>
                <w:szCs w:val="20"/>
              </w:rPr>
              <w:t>等影像学见肠道炎症、呈阶段性分布、肠壁厚、狭窄或痿管。</w:t>
            </w:r>
          </w:p>
          <w:p>
            <w:pPr>
              <w:pStyle w:val="29"/>
              <w:widowControl w:val="0"/>
              <w:numPr>
                <w:ilvl w:val="0"/>
                <w:numId w:val="36"/>
              </w:numPr>
              <w:shd w:val="clear" w:color="auto" w:fill="auto"/>
              <w:tabs>
                <w:tab w:val="left" w:pos="192"/>
              </w:tabs>
              <w:spacing w:before="0" w:after="0" w:line="331" w:lineRule="exact"/>
              <w:ind w:left="0" w:right="0" w:firstLine="0"/>
              <w:jc w:val="left"/>
              <w:rPr>
                <w:sz w:val="20"/>
                <w:szCs w:val="20"/>
              </w:rPr>
            </w:pPr>
            <w:r>
              <w:rPr>
                <w:color w:val="000000"/>
                <w:spacing w:val="0"/>
                <w:w w:val="100"/>
                <w:position w:val="0"/>
                <w:sz w:val="20"/>
                <w:szCs w:val="20"/>
              </w:rPr>
              <w:t>提供的病例资料中需要有排除结核、淋巴瘤、白塞氏病的相关依据。</w:t>
            </w:r>
          </w:p>
          <w:p>
            <w:pPr>
              <w:pStyle w:val="29"/>
              <w:widowControl w:val="0"/>
              <w:numPr>
                <w:ilvl w:val="0"/>
                <w:numId w:val="36"/>
              </w:numPr>
              <w:shd w:val="clear" w:color="auto" w:fill="auto"/>
              <w:tabs>
                <w:tab w:val="left" w:pos="216"/>
              </w:tabs>
              <w:spacing w:before="0" w:after="0" w:line="331" w:lineRule="exact"/>
              <w:ind w:left="0" w:right="0" w:firstLine="0"/>
              <w:jc w:val="left"/>
              <w:rPr>
                <w:sz w:val="20"/>
                <w:szCs w:val="20"/>
              </w:rPr>
            </w:pPr>
            <w:r>
              <w:rPr>
                <w:color w:val="000000"/>
                <w:spacing w:val="0"/>
                <w:w w:val="100"/>
                <w:position w:val="0"/>
                <w:sz w:val="20"/>
                <w:szCs w:val="20"/>
              </w:rPr>
              <w:t>病理组织学支持克罗恩病的诊断，无病理学患者需至少6个月以上的治疗观察符合诊断。</w:t>
            </w:r>
          </w:p>
          <w:p>
            <w:pPr>
              <w:pStyle w:val="29"/>
              <w:widowControl w:val="0"/>
              <w:numPr>
                <w:ilvl w:val="0"/>
                <w:numId w:val="36"/>
              </w:numPr>
              <w:shd w:val="clear" w:color="auto" w:fill="auto"/>
              <w:tabs>
                <w:tab w:val="left" w:pos="216"/>
              </w:tabs>
              <w:spacing w:before="0" w:after="60" w:line="331" w:lineRule="exact"/>
              <w:ind w:left="0" w:right="0" w:firstLine="0"/>
              <w:jc w:val="left"/>
              <w:rPr>
                <w:sz w:val="20"/>
                <w:szCs w:val="20"/>
              </w:rPr>
            </w:pPr>
            <w:r>
              <w:rPr>
                <w:color w:val="000000"/>
                <w:spacing w:val="0"/>
                <w:w w:val="100"/>
                <w:position w:val="0"/>
                <w:sz w:val="20"/>
                <w:szCs w:val="20"/>
              </w:rPr>
              <w:t>提供至少一次因克罗恩病为主要诊断的住院治疗的病历资料及门诊复诊资 料。</w:t>
            </w:r>
          </w:p>
          <w:p>
            <w:pPr>
              <w:pStyle w:val="29"/>
              <w:widowControl w:val="0"/>
              <w:numPr>
                <w:ilvl w:val="0"/>
                <w:numId w:val="36"/>
              </w:numPr>
              <w:shd w:val="clear" w:color="auto" w:fill="auto"/>
              <w:tabs>
                <w:tab w:val="left" w:pos="206"/>
              </w:tabs>
              <w:spacing w:before="0" w:after="0" w:line="240" w:lineRule="auto"/>
              <w:ind w:left="0" w:right="0" w:firstLine="0"/>
              <w:jc w:val="left"/>
              <w:rPr>
                <w:sz w:val="20"/>
                <w:szCs w:val="20"/>
              </w:rPr>
            </w:pPr>
            <w:r>
              <w:rPr>
                <w:color w:val="000000"/>
                <w:spacing w:val="0"/>
                <w:w w:val="100"/>
                <w:position w:val="0"/>
                <w:sz w:val="20"/>
                <w:szCs w:val="20"/>
              </w:rPr>
              <w:t>须同时具备以上条件。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277" w:hRule="exact"/>
          <w:jc w:val="center"/>
        </w:trPr>
        <w:tc>
          <w:tcPr>
            <w:tcW w:w="686"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lang w:val="zh-CN" w:eastAsia="zh-CN" w:bidi="zh-CN"/>
              </w:rPr>
              <w:t>60</w:t>
            </w:r>
          </w:p>
        </w:tc>
        <w:tc>
          <w:tcPr>
            <w:tcW w:w="1267"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银屑病</w:t>
            </w:r>
          </w:p>
        </w:tc>
        <w:tc>
          <w:tcPr>
            <w:tcW w:w="7373" w:type="dxa"/>
            <w:tcBorders>
              <w:top w:val="single" w:color="auto" w:sz="4" w:space="0"/>
              <w:left w:val="single" w:color="auto" w:sz="4" w:space="0"/>
              <w:bottom w:val="single" w:color="auto" w:sz="4" w:space="0"/>
              <w:right w:val="single" w:color="auto" w:sz="4" w:space="0"/>
            </w:tcBorders>
            <w:shd w:val="clear" w:color="auto" w:fill="FFFFFF"/>
            <w:vAlign w:val="top"/>
          </w:tcPr>
          <w:p>
            <w:pPr>
              <w:pStyle w:val="29"/>
              <w:widowControl w:val="0"/>
              <w:numPr>
                <w:ilvl w:val="0"/>
                <w:numId w:val="37"/>
              </w:numPr>
              <w:shd w:val="clear" w:color="auto" w:fill="auto"/>
              <w:tabs>
                <w:tab w:val="left" w:pos="216"/>
              </w:tabs>
              <w:spacing w:before="0" w:after="0" w:line="312" w:lineRule="exact"/>
              <w:ind w:left="0" w:right="0" w:firstLine="0"/>
              <w:jc w:val="left"/>
              <w:rPr>
                <w:sz w:val="20"/>
                <w:szCs w:val="20"/>
              </w:rPr>
            </w:pPr>
            <w:r>
              <w:rPr>
                <w:color w:val="000000"/>
                <w:spacing w:val="0"/>
                <w:w w:val="100"/>
                <w:position w:val="0"/>
                <w:sz w:val="20"/>
                <w:szCs w:val="20"/>
              </w:rPr>
              <w:t>不同类型银屑病的皮肤表现，如周身大小不等红斑，斑块，表面覆盖银白色鳞屑，薄膜现象（ + ）,点状出血（ + ）,累及头部可见束状发等</w:t>
            </w:r>
            <w:r>
              <w:rPr>
                <w:rFonts w:hint="eastAsia"/>
                <w:color w:val="000000"/>
                <w:spacing w:val="0"/>
                <w:w w:val="100"/>
                <w:position w:val="0"/>
                <w:sz w:val="20"/>
                <w:szCs w:val="20"/>
                <w:lang w:eastAsia="zh-CN"/>
              </w:rPr>
              <w:t>。</w:t>
            </w:r>
          </w:p>
          <w:p>
            <w:pPr>
              <w:pStyle w:val="29"/>
              <w:widowControl w:val="0"/>
              <w:numPr>
                <w:ilvl w:val="0"/>
                <w:numId w:val="37"/>
              </w:numPr>
              <w:shd w:val="clear" w:color="auto" w:fill="auto"/>
              <w:tabs>
                <w:tab w:val="left" w:pos="206"/>
              </w:tabs>
              <w:spacing w:before="0" w:after="0" w:line="312" w:lineRule="exact"/>
              <w:ind w:left="0" w:right="0" w:firstLine="0"/>
              <w:jc w:val="left"/>
              <w:rPr>
                <w:sz w:val="20"/>
                <w:szCs w:val="20"/>
              </w:rPr>
            </w:pPr>
            <w:r>
              <w:rPr>
                <w:color w:val="000000"/>
                <w:spacing w:val="0"/>
                <w:w w:val="100"/>
                <w:position w:val="0"/>
                <w:sz w:val="20"/>
                <w:szCs w:val="20"/>
              </w:rPr>
              <w:t>血沉明显增高</w:t>
            </w:r>
            <w:r>
              <w:rPr>
                <w:rFonts w:hint="eastAsia"/>
                <w:color w:val="000000"/>
                <w:spacing w:val="0"/>
                <w:w w:val="100"/>
                <w:position w:val="0"/>
                <w:sz w:val="20"/>
                <w:szCs w:val="20"/>
                <w:lang w:eastAsia="zh-CN"/>
              </w:rPr>
              <w:t>。</w:t>
            </w:r>
          </w:p>
          <w:p>
            <w:pPr>
              <w:pStyle w:val="29"/>
              <w:widowControl w:val="0"/>
              <w:numPr>
                <w:ilvl w:val="0"/>
                <w:numId w:val="37"/>
              </w:numPr>
              <w:shd w:val="clear" w:color="auto" w:fill="auto"/>
              <w:tabs>
                <w:tab w:val="left" w:pos="197"/>
              </w:tabs>
              <w:spacing w:before="0" w:after="0" w:line="312" w:lineRule="exact"/>
              <w:ind w:left="0" w:right="0" w:firstLine="0"/>
              <w:jc w:val="left"/>
              <w:rPr>
                <w:sz w:val="20"/>
                <w:szCs w:val="20"/>
              </w:rPr>
            </w:pPr>
            <w:r>
              <w:rPr>
                <w:color w:val="000000"/>
                <w:spacing w:val="0"/>
                <w:w w:val="100"/>
                <w:position w:val="0"/>
                <w:sz w:val="20"/>
                <w:szCs w:val="20"/>
              </w:rPr>
              <w:t>病程慢性，持续数年至迁延终身，反复发作</w:t>
            </w:r>
            <w:r>
              <w:rPr>
                <w:rFonts w:hint="eastAsia"/>
                <w:color w:val="000000"/>
                <w:spacing w:val="0"/>
                <w:w w:val="100"/>
                <w:position w:val="0"/>
                <w:sz w:val="20"/>
                <w:szCs w:val="20"/>
                <w:lang w:eastAsia="zh-CN"/>
              </w:rPr>
              <w:t>。</w:t>
            </w:r>
          </w:p>
        </w:tc>
      </w:tr>
    </w:tbl>
    <w:p>
      <w:pPr>
        <w:widowControl w:val="0"/>
        <w:spacing w:line="1" w:lineRule="exact"/>
        <w:sectPr>
          <w:footerReference r:id="rId8" w:type="default"/>
          <w:footnotePr>
            <w:numFmt w:val="decimal"/>
          </w:footnotePr>
          <w:pgSz w:w="11900" w:h="16840"/>
          <w:pgMar w:top="1417" w:right="1417" w:bottom="1417" w:left="1417" w:header="1706" w:footer="567" w:gutter="0"/>
          <w:pgNumType w:fmt="decimal"/>
          <w:cols w:space="720" w:num="1"/>
          <w:rtlGutter w:val="0"/>
          <w:docGrid w:linePitch="360" w:charSpace="0"/>
        </w:sectPr>
      </w:pPr>
    </w:p>
    <w:tbl>
      <w:tblPr>
        <w:tblStyle w:val="15"/>
        <w:tblW w:w="93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82"/>
        <w:gridCol w:w="1267"/>
        <w:gridCol w:w="73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60" w:hRule="exact"/>
          <w:jc w:val="center"/>
        </w:trPr>
        <w:tc>
          <w:tcPr>
            <w:tcW w:w="68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61</w:t>
            </w:r>
          </w:p>
        </w:tc>
        <w:tc>
          <w:tcPr>
            <w:tcW w:w="1267"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肺动脉高压</w:t>
            </w:r>
          </w:p>
        </w:tc>
        <w:tc>
          <w:tcPr>
            <w:tcW w:w="7368" w:type="dxa"/>
            <w:tcBorders>
              <w:top w:val="single" w:color="auto" w:sz="4" w:space="0"/>
              <w:left w:val="single" w:color="auto" w:sz="4" w:space="0"/>
              <w:right w:val="single" w:color="auto" w:sz="4" w:space="0"/>
            </w:tcBorders>
            <w:shd w:val="clear" w:color="auto" w:fill="FFFFFF"/>
            <w:vAlign w:val="bottom"/>
          </w:tcPr>
          <w:p>
            <w:pPr>
              <w:pStyle w:val="29"/>
              <w:widowControl w:val="0"/>
              <w:numPr>
                <w:ilvl w:val="0"/>
                <w:numId w:val="38"/>
              </w:numPr>
              <w:shd w:val="clear" w:color="auto" w:fill="auto"/>
              <w:tabs>
                <w:tab w:val="left" w:pos="197"/>
              </w:tabs>
              <w:spacing w:before="0" w:after="60" w:line="240" w:lineRule="auto"/>
              <w:ind w:left="0" w:right="0" w:firstLine="0"/>
              <w:jc w:val="left"/>
              <w:rPr>
                <w:sz w:val="20"/>
                <w:szCs w:val="20"/>
              </w:rPr>
            </w:pPr>
            <w:r>
              <w:rPr>
                <w:color w:val="000000"/>
                <w:spacing w:val="0"/>
                <w:w w:val="100"/>
                <w:position w:val="0"/>
                <w:sz w:val="20"/>
                <w:szCs w:val="20"/>
              </w:rPr>
              <w:t>有肺动脉高压明显临床症状。</w:t>
            </w:r>
          </w:p>
          <w:p>
            <w:pPr>
              <w:pStyle w:val="29"/>
              <w:widowControl w:val="0"/>
              <w:numPr>
                <w:ilvl w:val="0"/>
                <w:numId w:val="38"/>
              </w:numPr>
              <w:shd w:val="clear" w:color="auto" w:fill="auto"/>
              <w:tabs>
                <w:tab w:val="left" w:pos="197"/>
              </w:tabs>
              <w:spacing w:before="0" w:after="60" w:line="240" w:lineRule="auto"/>
              <w:ind w:left="0" w:right="0" w:firstLine="0"/>
              <w:jc w:val="left"/>
              <w:rPr>
                <w:sz w:val="20"/>
                <w:szCs w:val="20"/>
              </w:rPr>
            </w:pPr>
            <w:r>
              <w:rPr>
                <w:color w:val="000000"/>
                <w:spacing w:val="0"/>
                <w:w w:val="100"/>
                <w:position w:val="0"/>
                <w:sz w:val="20"/>
                <w:szCs w:val="20"/>
              </w:rPr>
              <w:t>肺动脉压力测定或心脏彩超有明显异常。</w:t>
            </w:r>
          </w:p>
          <w:p>
            <w:pPr>
              <w:pStyle w:val="29"/>
              <w:widowControl w:val="0"/>
              <w:numPr>
                <w:ilvl w:val="0"/>
                <w:numId w:val="38"/>
              </w:numPr>
              <w:shd w:val="clear" w:color="auto" w:fill="auto"/>
              <w:tabs>
                <w:tab w:val="left" w:pos="197"/>
              </w:tabs>
              <w:spacing w:before="0" w:after="60" w:line="240" w:lineRule="auto"/>
              <w:ind w:left="0" w:right="0" w:firstLine="0"/>
              <w:jc w:val="left"/>
              <w:rPr>
                <w:sz w:val="20"/>
                <w:szCs w:val="20"/>
              </w:rPr>
            </w:pPr>
            <w:r>
              <w:rPr>
                <w:color w:val="000000"/>
                <w:spacing w:val="0"/>
                <w:w w:val="100"/>
                <w:position w:val="0"/>
                <w:sz w:val="20"/>
                <w:szCs w:val="20"/>
              </w:rPr>
              <w:t>长期服用波生坦或马昔腾坦等治疗药品。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272" w:hRule="exact"/>
          <w:jc w:val="center"/>
        </w:trPr>
        <w:tc>
          <w:tcPr>
            <w:tcW w:w="682" w:type="dxa"/>
            <w:tcBorders>
              <w:top w:val="single" w:color="auto" w:sz="4" w:space="0"/>
              <w:left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62</w:t>
            </w:r>
          </w:p>
        </w:tc>
        <w:tc>
          <w:tcPr>
            <w:tcW w:w="1267" w:type="dxa"/>
            <w:tcBorders>
              <w:top w:val="single" w:color="auto" w:sz="4" w:space="0"/>
              <w:left w:val="single" w:color="auto" w:sz="4" w:space="0"/>
            </w:tcBorders>
            <w:shd w:val="clear" w:color="auto" w:fill="FFFFFF"/>
            <w:vAlign w:val="top"/>
          </w:tcPr>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自身免疫性肝炎(胆</w:t>
            </w:r>
          </w:p>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汁淤积性肝炎)</w:t>
            </w:r>
          </w:p>
        </w:tc>
        <w:tc>
          <w:tcPr>
            <w:tcW w:w="7368" w:type="dxa"/>
            <w:tcBorders>
              <w:top w:val="single" w:color="auto" w:sz="4" w:space="0"/>
              <w:left w:val="single" w:color="auto" w:sz="4" w:space="0"/>
              <w:right w:val="single" w:color="auto" w:sz="4" w:space="0"/>
            </w:tcBorders>
            <w:shd w:val="clear" w:color="auto" w:fill="FFFFFF"/>
            <w:vAlign w:val="top"/>
          </w:tcPr>
          <w:p>
            <w:pPr>
              <w:pStyle w:val="29"/>
              <w:widowControl w:val="0"/>
              <w:numPr>
                <w:ilvl w:val="0"/>
                <w:numId w:val="39"/>
              </w:numPr>
              <w:shd w:val="clear" w:color="auto" w:fill="auto"/>
              <w:tabs>
                <w:tab w:val="left" w:pos="197"/>
              </w:tabs>
              <w:spacing w:before="0" w:after="0" w:line="307" w:lineRule="exact"/>
              <w:ind w:left="0" w:right="0" w:firstLine="0"/>
              <w:jc w:val="left"/>
              <w:rPr>
                <w:sz w:val="20"/>
                <w:szCs w:val="20"/>
              </w:rPr>
            </w:pPr>
            <w:r>
              <w:rPr>
                <w:color w:val="000000"/>
                <w:spacing w:val="0"/>
                <w:w w:val="100"/>
                <w:position w:val="0"/>
                <w:sz w:val="20"/>
                <w:szCs w:val="20"/>
              </w:rPr>
              <w:t>不同程度的乏力、纳差、恶心、腹胀、尿色深、排便改变等。</w:t>
            </w:r>
          </w:p>
          <w:p>
            <w:pPr>
              <w:pStyle w:val="29"/>
              <w:widowControl w:val="0"/>
              <w:numPr>
                <w:ilvl w:val="0"/>
                <w:numId w:val="39"/>
              </w:numPr>
              <w:shd w:val="clear" w:color="auto" w:fill="auto"/>
              <w:tabs>
                <w:tab w:val="left" w:pos="221"/>
              </w:tabs>
              <w:spacing w:before="0" w:after="0" w:line="307" w:lineRule="exact"/>
              <w:ind w:left="0" w:right="0" w:firstLine="0"/>
              <w:jc w:val="left"/>
              <w:rPr>
                <w:sz w:val="20"/>
                <w:szCs w:val="20"/>
              </w:rPr>
            </w:pPr>
            <w:r>
              <w:rPr>
                <w:color w:val="000000"/>
                <w:spacing w:val="0"/>
                <w:w w:val="100"/>
                <w:position w:val="0"/>
                <w:sz w:val="20"/>
                <w:szCs w:val="20"/>
              </w:rPr>
              <w:t>经过专科医院或二级及以上综合医院专科病房住院明确诊断为自身免疫肝炎。患者反复或持续肝功异常，病程超过6个月。</w:t>
            </w:r>
          </w:p>
          <w:p>
            <w:pPr>
              <w:pStyle w:val="29"/>
              <w:widowControl w:val="0"/>
              <w:numPr>
                <w:ilvl w:val="0"/>
                <w:numId w:val="39"/>
              </w:numPr>
              <w:shd w:val="clear" w:color="auto" w:fill="auto"/>
              <w:tabs>
                <w:tab w:val="left" w:pos="197"/>
              </w:tabs>
              <w:spacing w:before="0" w:after="0" w:line="307" w:lineRule="exact"/>
              <w:ind w:left="0" w:right="0" w:firstLine="0"/>
              <w:jc w:val="left"/>
              <w:rPr>
                <w:sz w:val="20"/>
                <w:szCs w:val="20"/>
              </w:rPr>
            </w:pPr>
            <w:r>
              <w:rPr>
                <w:color w:val="000000"/>
                <w:spacing w:val="0"/>
                <w:w w:val="100"/>
                <w:position w:val="0"/>
                <w:sz w:val="20"/>
                <w:szCs w:val="20"/>
              </w:rPr>
              <w:t>肝抗原或</w:t>
            </w:r>
            <w:r>
              <w:rPr>
                <w:color w:val="000000"/>
                <w:spacing w:val="0"/>
                <w:w w:val="100"/>
                <w:position w:val="0"/>
                <w:sz w:val="20"/>
                <w:szCs w:val="20"/>
                <w:lang w:val="en-US" w:eastAsia="en-US" w:bidi="en-US"/>
              </w:rPr>
              <w:t>M2</w:t>
            </w:r>
            <w:r>
              <w:rPr>
                <w:color w:val="000000"/>
                <w:spacing w:val="0"/>
                <w:w w:val="100"/>
                <w:position w:val="0"/>
                <w:sz w:val="20"/>
                <w:szCs w:val="20"/>
              </w:rPr>
              <w:t>抗体阳性。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584" w:hRule="exact"/>
          <w:jc w:val="center"/>
        </w:trPr>
        <w:tc>
          <w:tcPr>
            <w:tcW w:w="682"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63</w:t>
            </w:r>
          </w:p>
        </w:tc>
        <w:tc>
          <w:tcPr>
            <w:tcW w:w="1267" w:type="dxa"/>
            <w:tcBorders>
              <w:top w:val="single" w:color="auto" w:sz="4" w:space="0"/>
              <w:left w:val="single" w:color="auto" w:sz="4" w:space="0"/>
              <w:bottom w:val="single" w:color="auto" w:sz="4" w:space="0"/>
            </w:tcBorders>
            <w:shd w:val="clear" w:color="auto" w:fill="FFFFFF"/>
            <w:vAlign w:val="center"/>
          </w:tcPr>
          <w:p>
            <w:pPr>
              <w:pStyle w:val="29"/>
              <w:widowControl w:val="0"/>
              <w:shd w:val="clear" w:color="auto" w:fill="auto"/>
              <w:spacing w:before="0" w:after="0" w:line="312" w:lineRule="exact"/>
              <w:ind w:left="0" w:right="0" w:firstLine="0"/>
              <w:jc w:val="center"/>
              <w:rPr>
                <w:sz w:val="20"/>
                <w:szCs w:val="20"/>
              </w:rPr>
            </w:pPr>
            <w:r>
              <w:rPr>
                <w:color w:val="000000"/>
                <w:spacing w:val="0"/>
                <w:w w:val="100"/>
                <w:position w:val="0"/>
                <w:sz w:val="20"/>
                <w:szCs w:val="20"/>
              </w:rPr>
              <w:t>苯丙酮尿症</w:t>
            </w:r>
          </w:p>
        </w:tc>
        <w:tc>
          <w:tcPr>
            <w:tcW w:w="7368" w:type="dxa"/>
            <w:tcBorders>
              <w:top w:val="single" w:color="auto" w:sz="4" w:space="0"/>
              <w:left w:val="single" w:color="auto" w:sz="4" w:space="0"/>
              <w:bottom w:val="single" w:color="auto" w:sz="4" w:space="0"/>
              <w:right w:val="single" w:color="auto" w:sz="4" w:space="0"/>
            </w:tcBorders>
            <w:shd w:val="clear" w:color="auto" w:fill="FFFFFF"/>
            <w:vAlign w:val="top"/>
          </w:tcPr>
          <w:p>
            <w:pPr>
              <w:pStyle w:val="29"/>
              <w:widowControl w:val="0"/>
              <w:shd w:val="clear" w:color="auto" w:fill="auto"/>
              <w:tabs>
                <w:tab w:val="left" w:pos="298"/>
              </w:tabs>
              <w:spacing w:before="0" w:after="0" w:line="322" w:lineRule="exact"/>
              <w:ind w:left="0" w:right="0" w:firstLine="0"/>
              <w:jc w:val="left"/>
              <w:rPr>
                <w:sz w:val="20"/>
                <w:szCs w:val="20"/>
              </w:rPr>
            </w:pPr>
            <w:r>
              <w:rPr>
                <w:color w:val="000000"/>
                <w:spacing w:val="0"/>
                <w:w w:val="100"/>
                <w:position w:val="0"/>
                <w:sz w:val="20"/>
                <w:szCs w:val="20"/>
              </w:rPr>
              <w:t>1、</w:t>
            </w:r>
            <w:r>
              <w:rPr>
                <w:color w:val="000000"/>
                <w:spacing w:val="0"/>
                <w:w w:val="100"/>
                <w:position w:val="0"/>
                <w:sz w:val="20"/>
                <w:szCs w:val="20"/>
              </w:rPr>
              <w:tab/>
            </w:r>
            <w:r>
              <w:rPr>
                <w:color w:val="000000"/>
                <w:spacing w:val="0"/>
                <w:w w:val="100"/>
                <w:position w:val="0"/>
                <w:sz w:val="20"/>
                <w:szCs w:val="20"/>
              </w:rPr>
              <w:t>血浆中苯丙氨酸</w:t>
            </w:r>
            <w:r>
              <w:rPr>
                <w:color w:val="000000"/>
                <w:spacing w:val="0"/>
                <w:w w:val="100"/>
                <w:position w:val="0"/>
                <w:sz w:val="20"/>
                <w:szCs w:val="20"/>
                <w:lang w:val="en-US" w:eastAsia="en-US" w:bidi="en-US"/>
              </w:rPr>
              <w:t xml:space="preserve">＞1. 2mmol/L (20mg/dl </w:t>
            </w:r>
            <w:r>
              <w:rPr>
                <w:color w:val="000000"/>
                <w:spacing w:val="0"/>
                <w:w w:val="100"/>
                <w:position w:val="0"/>
                <w:sz w:val="20"/>
                <w:szCs w:val="20"/>
              </w:rPr>
              <w:t>);</w:t>
            </w:r>
          </w:p>
          <w:p>
            <w:pPr>
              <w:pStyle w:val="29"/>
              <w:widowControl w:val="0"/>
              <w:shd w:val="clear" w:color="auto" w:fill="auto"/>
              <w:tabs>
                <w:tab w:val="left" w:pos="307"/>
              </w:tabs>
              <w:spacing w:before="0" w:after="0" w:line="322" w:lineRule="exact"/>
              <w:ind w:left="0" w:right="0" w:firstLine="0"/>
              <w:jc w:val="left"/>
              <w:rPr>
                <w:sz w:val="20"/>
                <w:szCs w:val="20"/>
              </w:rPr>
            </w:pPr>
            <w:r>
              <w:rPr>
                <w:color w:val="000000"/>
                <w:spacing w:val="0"/>
                <w:w w:val="100"/>
                <w:position w:val="0"/>
                <w:sz w:val="20"/>
                <w:szCs w:val="20"/>
              </w:rPr>
              <w:t>2、</w:t>
            </w:r>
            <w:r>
              <w:rPr>
                <w:color w:val="000000"/>
                <w:spacing w:val="0"/>
                <w:w w:val="100"/>
                <w:position w:val="0"/>
                <w:sz w:val="20"/>
                <w:szCs w:val="20"/>
              </w:rPr>
              <w:tab/>
            </w:r>
            <w:r>
              <w:rPr>
                <w:color w:val="000000"/>
                <w:spacing w:val="0"/>
                <w:w w:val="100"/>
                <w:position w:val="0"/>
                <w:sz w:val="20"/>
                <w:szCs w:val="20"/>
              </w:rPr>
              <w:t>血浆中酪氨酸水平正常；</w:t>
            </w:r>
          </w:p>
          <w:p>
            <w:pPr>
              <w:pStyle w:val="29"/>
              <w:widowControl w:val="0"/>
              <w:shd w:val="clear" w:color="auto" w:fill="auto"/>
              <w:tabs>
                <w:tab w:val="left" w:pos="298"/>
              </w:tabs>
              <w:spacing w:before="0" w:after="0" w:line="322" w:lineRule="exact"/>
              <w:ind w:left="0" w:right="0" w:firstLine="0"/>
              <w:jc w:val="left"/>
              <w:rPr>
                <w:sz w:val="20"/>
                <w:szCs w:val="20"/>
              </w:rPr>
            </w:pPr>
            <w:r>
              <w:rPr>
                <w:color w:val="000000"/>
                <w:spacing w:val="0"/>
                <w:w w:val="100"/>
                <w:position w:val="0"/>
                <w:sz w:val="20"/>
                <w:szCs w:val="20"/>
              </w:rPr>
              <w:t>3、</w:t>
            </w:r>
            <w:r>
              <w:rPr>
                <w:color w:val="000000"/>
                <w:spacing w:val="0"/>
                <w:w w:val="100"/>
                <w:position w:val="0"/>
                <w:sz w:val="20"/>
                <w:szCs w:val="20"/>
              </w:rPr>
              <w:tab/>
            </w:r>
            <w:r>
              <w:rPr>
                <w:color w:val="000000"/>
                <w:spacing w:val="0"/>
                <w:w w:val="100"/>
                <w:position w:val="0"/>
                <w:sz w:val="20"/>
                <w:szCs w:val="20"/>
              </w:rPr>
              <w:t>尿中苯丙氨酸代谢产物：苯丙氨酮酸，</w:t>
            </w:r>
            <w:r>
              <w:rPr>
                <w:color w:val="000000"/>
                <w:spacing w:val="0"/>
                <w:w w:val="100"/>
                <w:position w:val="0"/>
                <w:sz w:val="20"/>
                <w:szCs w:val="20"/>
                <w:lang w:val="en-US" w:eastAsia="en-US" w:bidi="en-US"/>
              </w:rPr>
              <w:t>a</w:t>
            </w:r>
            <w:r>
              <w:rPr>
                <w:color w:val="000000"/>
                <w:spacing w:val="0"/>
                <w:w w:val="100"/>
                <w:position w:val="0"/>
                <w:sz w:val="20"/>
                <w:szCs w:val="20"/>
              </w:rPr>
              <w:t>羟苯乙酸等增加；</w:t>
            </w:r>
          </w:p>
          <w:p>
            <w:pPr>
              <w:pStyle w:val="29"/>
              <w:widowControl w:val="0"/>
              <w:shd w:val="clear" w:color="auto" w:fill="auto"/>
              <w:tabs>
                <w:tab w:val="left" w:pos="317"/>
              </w:tabs>
              <w:spacing w:before="0" w:after="0" w:line="322" w:lineRule="exact"/>
              <w:ind w:left="0" w:right="0" w:firstLine="0"/>
              <w:jc w:val="left"/>
              <w:rPr>
                <w:sz w:val="20"/>
                <w:szCs w:val="20"/>
              </w:rPr>
            </w:pPr>
            <w:r>
              <w:rPr>
                <w:color w:val="000000"/>
                <w:spacing w:val="0"/>
                <w:w w:val="100"/>
                <w:position w:val="0"/>
                <w:sz w:val="20"/>
                <w:szCs w:val="20"/>
              </w:rPr>
              <w:t>4、</w:t>
            </w:r>
            <w:r>
              <w:rPr>
                <w:color w:val="000000"/>
                <w:spacing w:val="0"/>
                <w:w w:val="100"/>
                <w:position w:val="0"/>
                <w:sz w:val="20"/>
                <w:szCs w:val="20"/>
              </w:rPr>
              <w:tab/>
            </w:r>
            <w:r>
              <w:rPr>
                <w:color w:val="000000"/>
                <w:spacing w:val="0"/>
                <w:w w:val="100"/>
                <w:position w:val="0"/>
                <w:sz w:val="20"/>
                <w:szCs w:val="20"/>
              </w:rPr>
              <w:t>4-羟生物蝶吟辅因子的浓度正常</w:t>
            </w:r>
            <w:r>
              <w:rPr>
                <w:rFonts w:hint="eastAsia"/>
                <w:color w:val="000000"/>
                <w:spacing w:val="0"/>
                <w:w w:val="100"/>
                <w:position w:val="0"/>
                <w:sz w:val="20"/>
                <w:szCs w:val="20"/>
                <w:lang w:eastAsia="zh-CN"/>
              </w:rPr>
              <w:t>。</w:t>
            </w:r>
            <w:r>
              <w:rPr>
                <w:color w:val="000000"/>
                <w:spacing w:val="0"/>
                <w:w w:val="100"/>
                <w:position w:val="0"/>
                <w:sz w:val="20"/>
                <w:szCs w:val="20"/>
              </w:rPr>
              <w:t>评定标准：符合以上4条可确定</w:t>
            </w:r>
          </w:p>
        </w:tc>
      </w:tr>
    </w:tbl>
    <w:p>
      <w:pPr>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8"/>
          <w:szCs w:val="28"/>
        </w:rPr>
        <w:sectPr>
          <w:footerReference r:id="rId9" w:type="default"/>
          <w:footnotePr>
            <w:numFmt w:val="decimal"/>
          </w:footnotePr>
          <w:pgSz w:w="11900" w:h="16840"/>
          <w:pgMar w:top="1417" w:right="1417" w:bottom="1417" w:left="1417" w:header="1706" w:footer="567" w:gutter="0"/>
          <w:pgNumType w:fmt="decimal"/>
          <w:cols w:space="720" w:num="1"/>
          <w:rtlGutter w:val="0"/>
          <w:docGrid w:linePitch="360" w:charSpace="0"/>
        </w:sectPr>
      </w:pP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380" w:line="240" w:lineRule="auto"/>
        <w:ind w:left="0" w:right="0" w:firstLine="0"/>
        <w:jc w:val="left"/>
        <w:textAlignment w:val="auto"/>
        <w:rPr>
          <w:rFonts w:hint="eastAsia" w:asciiTheme="minorEastAsia" w:hAnsiTheme="minorEastAsia" w:eastAsiaTheme="minorEastAsia" w:cstheme="minorEastAsia"/>
          <w:b/>
          <w:bCs/>
          <w:color w:val="000000"/>
          <w:spacing w:val="0"/>
          <w:w w:val="100"/>
          <w:position w:val="0"/>
          <w:sz w:val="28"/>
          <w:szCs w:val="28"/>
        </w:rPr>
      </w:pPr>
      <w:r>
        <w:rPr>
          <w:rFonts w:hint="eastAsia" w:asciiTheme="minorEastAsia" w:hAnsiTheme="minorEastAsia" w:eastAsiaTheme="minorEastAsia" w:cstheme="minorEastAsia"/>
          <w:b/>
          <w:bCs/>
          <w:color w:val="000000"/>
          <w:spacing w:val="0"/>
          <w:w w:val="100"/>
          <w:position w:val="0"/>
          <w:sz w:val="28"/>
          <w:szCs w:val="28"/>
        </w:rPr>
        <w:t>附件2：</w:t>
      </w:r>
      <w:bookmarkStart w:id="35" w:name="_Toc29365"/>
      <w:bookmarkStart w:id="36" w:name="bookmark10"/>
      <w:bookmarkStart w:id="37" w:name="bookmark9"/>
      <w:bookmarkStart w:id="38" w:name="bookmark11"/>
      <w:bookmarkStart w:id="39" w:name="_Toc30075"/>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380" w:line="240" w:lineRule="auto"/>
        <w:ind w:left="0" w:right="0" w:firstLine="1687" w:firstLineChars="600"/>
        <w:jc w:val="left"/>
        <w:textAlignment w:val="auto"/>
        <w:rPr>
          <w:rFonts w:hint="eastAsia" w:asciiTheme="minorEastAsia" w:hAnsiTheme="minorEastAsia" w:eastAsiaTheme="minorEastAsia" w:cstheme="minorEastAsia"/>
          <w:b/>
          <w:color w:val="000000"/>
          <w:kern w:val="0"/>
          <w:sz w:val="28"/>
          <w:szCs w:val="28"/>
          <w:u w:val="none"/>
          <w:shd w:val="clear" w:color="070000" w:fill="auto"/>
          <w:lang w:val="en-US" w:eastAsia="zh-CN"/>
        </w:rPr>
      </w:pPr>
      <w:r>
        <w:rPr>
          <w:rFonts w:hint="eastAsia" w:asciiTheme="minorEastAsia" w:hAnsiTheme="minorEastAsia" w:eastAsiaTheme="minorEastAsia" w:cstheme="minorEastAsia"/>
          <w:b/>
          <w:color w:val="000000"/>
          <w:kern w:val="0"/>
          <w:sz w:val="28"/>
          <w:szCs w:val="28"/>
          <w:u w:val="none"/>
          <w:shd w:val="clear" w:color="070000" w:fill="auto"/>
          <w:lang w:val="en-US" w:eastAsia="zh-CN"/>
        </w:rPr>
        <w:t>滨州市基本医保门诊药品单独支付病种目录</w:t>
      </w:r>
      <w:bookmarkEnd w:id="35"/>
      <w:bookmarkEnd w:id="36"/>
      <w:bookmarkEnd w:id="37"/>
      <w:bookmarkEnd w:id="38"/>
      <w:bookmarkEnd w:id="39"/>
    </w:p>
    <w:p>
      <w:pPr>
        <w:pStyle w:val="25"/>
        <w:keepNext w:val="0"/>
        <w:keepLines w:val="0"/>
        <w:pageBreakBefore w:val="0"/>
        <w:widowControl w:val="0"/>
        <w:numPr>
          <w:ilvl w:val="0"/>
          <w:numId w:val="40"/>
        </w:numPr>
        <w:shd w:val="clear" w:color="auto" w:fill="auto"/>
        <w:tabs>
          <w:tab w:val="left" w:pos="1121"/>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0" w:name="bookmark12"/>
      <w:bookmarkEnd w:id="40"/>
      <w:r>
        <w:rPr>
          <w:rFonts w:hint="eastAsia" w:asciiTheme="minorEastAsia" w:hAnsiTheme="minorEastAsia" w:eastAsiaTheme="minorEastAsia" w:cstheme="minorEastAsia"/>
          <w:color w:val="000000"/>
          <w:spacing w:val="0"/>
          <w:w w:val="100"/>
          <w:kern w:val="0"/>
          <w:position w:val="0"/>
          <w:sz w:val="28"/>
          <w:szCs w:val="28"/>
        </w:rPr>
        <w:t>银屑病（过渡期内按慢特病管理）</w:t>
      </w:r>
    </w:p>
    <w:p>
      <w:pPr>
        <w:pStyle w:val="25"/>
        <w:keepNext w:val="0"/>
        <w:keepLines w:val="0"/>
        <w:pageBreakBefore w:val="0"/>
        <w:widowControl w:val="0"/>
        <w:numPr>
          <w:ilvl w:val="0"/>
          <w:numId w:val="40"/>
        </w:numPr>
        <w:shd w:val="clear" w:color="auto" w:fill="auto"/>
        <w:tabs>
          <w:tab w:val="left" w:pos="1122"/>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1" w:name="bookmark13"/>
      <w:bookmarkEnd w:id="41"/>
      <w:r>
        <w:rPr>
          <w:rFonts w:hint="eastAsia" w:asciiTheme="minorEastAsia" w:hAnsiTheme="minorEastAsia" w:eastAsiaTheme="minorEastAsia" w:cstheme="minorEastAsia"/>
          <w:color w:val="000000"/>
          <w:spacing w:val="0"/>
          <w:w w:val="100"/>
          <w:kern w:val="0"/>
          <w:position w:val="0"/>
          <w:sz w:val="28"/>
          <w:szCs w:val="28"/>
        </w:rPr>
        <w:t>中重度特应性皮炎</w:t>
      </w:r>
    </w:p>
    <w:p>
      <w:pPr>
        <w:pStyle w:val="25"/>
        <w:keepNext w:val="0"/>
        <w:keepLines w:val="0"/>
        <w:pageBreakBefore w:val="0"/>
        <w:widowControl w:val="0"/>
        <w:numPr>
          <w:ilvl w:val="0"/>
          <w:numId w:val="40"/>
        </w:numPr>
        <w:shd w:val="clear" w:color="auto" w:fill="auto"/>
        <w:tabs>
          <w:tab w:val="left" w:pos="1122"/>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2" w:name="bookmark14"/>
      <w:bookmarkEnd w:id="42"/>
      <w:r>
        <w:rPr>
          <w:rFonts w:hint="eastAsia" w:asciiTheme="minorEastAsia" w:hAnsiTheme="minorEastAsia" w:eastAsiaTheme="minorEastAsia" w:cstheme="minorEastAsia"/>
          <w:color w:val="000000"/>
          <w:spacing w:val="0"/>
          <w:w w:val="100"/>
          <w:kern w:val="0"/>
          <w:position w:val="0"/>
          <w:sz w:val="28"/>
          <w:szCs w:val="28"/>
        </w:rPr>
        <w:t>肺动脉高压（过渡期内按慢特病管理）</w:t>
      </w:r>
    </w:p>
    <w:p>
      <w:pPr>
        <w:pStyle w:val="25"/>
        <w:keepNext w:val="0"/>
        <w:keepLines w:val="0"/>
        <w:pageBreakBefore w:val="0"/>
        <w:widowControl w:val="0"/>
        <w:numPr>
          <w:ilvl w:val="0"/>
          <w:numId w:val="40"/>
        </w:numPr>
        <w:shd w:val="clear" w:color="auto" w:fill="auto"/>
        <w:tabs>
          <w:tab w:val="left" w:pos="1126"/>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3" w:name="bookmark15"/>
      <w:bookmarkEnd w:id="43"/>
      <w:r>
        <w:rPr>
          <w:rFonts w:hint="eastAsia" w:asciiTheme="minorEastAsia" w:hAnsiTheme="minorEastAsia" w:eastAsiaTheme="minorEastAsia" w:cstheme="minorEastAsia"/>
          <w:color w:val="000000"/>
          <w:spacing w:val="0"/>
          <w:w w:val="100"/>
          <w:kern w:val="0"/>
          <w:position w:val="0"/>
          <w:sz w:val="28"/>
          <w:szCs w:val="28"/>
        </w:rPr>
        <w:t>便秘型肠易激综合征（</w:t>
      </w:r>
      <w:r>
        <w:rPr>
          <w:rFonts w:hint="eastAsia" w:asciiTheme="minorEastAsia" w:hAnsiTheme="minorEastAsia" w:eastAsiaTheme="minorEastAsia" w:cstheme="minorEastAsia"/>
          <w:color w:val="000000"/>
          <w:spacing w:val="0"/>
          <w:w w:val="100"/>
          <w:kern w:val="0"/>
          <w:position w:val="0"/>
          <w:sz w:val="28"/>
          <w:szCs w:val="28"/>
          <w:lang w:val="en-US" w:eastAsia="en-US" w:bidi="en-US"/>
        </w:rPr>
        <w:t>IBS-C）</w:t>
      </w:r>
    </w:p>
    <w:p>
      <w:pPr>
        <w:pStyle w:val="25"/>
        <w:keepNext w:val="0"/>
        <w:keepLines w:val="0"/>
        <w:pageBreakBefore w:val="0"/>
        <w:widowControl w:val="0"/>
        <w:numPr>
          <w:ilvl w:val="0"/>
          <w:numId w:val="40"/>
        </w:numPr>
        <w:shd w:val="clear" w:color="auto" w:fill="auto"/>
        <w:tabs>
          <w:tab w:val="left" w:pos="1126"/>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4" w:name="bookmark16"/>
      <w:bookmarkEnd w:id="44"/>
      <w:r>
        <w:rPr>
          <w:rFonts w:hint="eastAsia" w:asciiTheme="minorEastAsia" w:hAnsiTheme="minorEastAsia" w:eastAsiaTheme="minorEastAsia" w:cstheme="minorEastAsia"/>
          <w:color w:val="000000"/>
          <w:spacing w:val="0"/>
          <w:w w:val="100"/>
          <w:kern w:val="0"/>
          <w:position w:val="0"/>
          <w:sz w:val="28"/>
          <w:szCs w:val="28"/>
        </w:rPr>
        <w:t>克罗恩病（过渡期内按慢特病管理）</w:t>
      </w:r>
    </w:p>
    <w:p>
      <w:pPr>
        <w:pStyle w:val="25"/>
        <w:keepNext w:val="0"/>
        <w:keepLines w:val="0"/>
        <w:pageBreakBefore w:val="0"/>
        <w:widowControl w:val="0"/>
        <w:numPr>
          <w:ilvl w:val="0"/>
          <w:numId w:val="40"/>
        </w:numPr>
        <w:shd w:val="clear" w:color="auto" w:fill="auto"/>
        <w:tabs>
          <w:tab w:val="left" w:pos="1126"/>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5" w:name="bookmark17"/>
      <w:bookmarkEnd w:id="45"/>
      <w:r>
        <w:rPr>
          <w:rFonts w:hint="eastAsia" w:asciiTheme="minorEastAsia" w:hAnsiTheme="minorEastAsia" w:eastAsiaTheme="minorEastAsia" w:cstheme="minorEastAsia"/>
          <w:color w:val="000000"/>
          <w:spacing w:val="0"/>
          <w:w w:val="100"/>
          <w:kern w:val="0"/>
          <w:position w:val="0"/>
          <w:sz w:val="28"/>
          <w:szCs w:val="28"/>
        </w:rPr>
        <w:t>溃疡性结（直）肠炎（过渡期内按慢特病管理）</w:t>
      </w:r>
    </w:p>
    <w:p>
      <w:pPr>
        <w:pStyle w:val="25"/>
        <w:keepNext w:val="0"/>
        <w:keepLines w:val="0"/>
        <w:pageBreakBefore w:val="0"/>
        <w:widowControl w:val="0"/>
        <w:numPr>
          <w:ilvl w:val="0"/>
          <w:numId w:val="40"/>
        </w:numPr>
        <w:shd w:val="clear" w:color="auto" w:fill="auto"/>
        <w:tabs>
          <w:tab w:val="left" w:pos="1126"/>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6" w:name="bookmark18"/>
      <w:bookmarkEnd w:id="46"/>
      <w:r>
        <w:rPr>
          <w:rFonts w:hint="eastAsia" w:asciiTheme="minorEastAsia" w:hAnsiTheme="minorEastAsia" w:eastAsiaTheme="minorEastAsia" w:cstheme="minorEastAsia"/>
          <w:color w:val="000000"/>
          <w:spacing w:val="0"/>
          <w:w w:val="100"/>
          <w:kern w:val="0"/>
          <w:position w:val="0"/>
          <w:sz w:val="28"/>
          <w:szCs w:val="28"/>
        </w:rPr>
        <w:t>脊髓性肌萎缩症</w:t>
      </w:r>
    </w:p>
    <w:p>
      <w:pPr>
        <w:pStyle w:val="25"/>
        <w:keepNext w:val="0"/>
        <w:keepLines w:val="0"/>
        <w:pageBreakBefore w:val="0"/>
        <w:widowControl w:val="0"/>
        <w:numPr>
          <w:ilvl w:val="0"/>
          <w:numId w:val="40"/>
        </w:numPr>
        <w:shd w:val="clear" w:color="auto" w:fill="auto"/>
        <w:tabs>
          <w:tab w:val="left" w:pos="1126"/>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7" w:name="bookmark19"/>
      <w:bookmarkEnd w:id="47"/>
      <w:r>
        <w:rPr>
          <w:rFonts w:hint="eastAsia" w:asciiTheme="minorEastAsia" w:hAnsiTheme="minorEastAsia" w:eastAsiaTheme="minorEastAsia" w:cstheme="minorEastAsia"/>
          <w:color w:val="000000"/>
          <w:spacing w:val="0"/>
          <w:w w:val="100"/>
          <w:kern w:val="0"/>
          <w:position w:val="0"/>
          <w:sz w:val="28"/>
          <w:szCs w:val="28"/>
        </w:rPr>
        <w:t>亨廷顿舞蹈病</w:t>
      </w:r>
    </w:p>
    <w:p>
      <w:pPr>
        <w:pStyle w:val="25"/>
        <w:keepNext w:val="0"/>
        <w:keepLines w:val="0"/>
        <w:pageBreakBefore w:val="0"/>
        <w:widowControl w:val="0"/>
        <w:numPr>
          <w:ilvl w:val="0"/>
          <w:numId w:val="40"/>
        </w:numPr>
        <w:shd w:val="clear" w:color="auto" w:fill="auto"/>
        <w:tabs>
          <w:tab w:val="left" w:pos="1126"/>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8" w:name="bookmark20"/>
      <w:bookmarkEnd w:id="48"/>
      <w:r>
        <w:rPr>
          <w:rFonts w:hint="eastAsia" w:asciiTheme="minorEastAsia" w:hAnsiTheme="minorEastAsia" w:eastAsiaTheme="minorEastAsia" w:cstheme="minorEastAsia"/>
          <w:color w:val="000000"/>
          <w:spacing w:val="0"/>
          <w:w w:val="100"/>
          <w:kern w:val="0"/>
          <w:position w:val="0"/>
          <w:sz w:val="28"/>
          <w:szCs w:val="28"/>
        </w:rPr>
        <w:t>多发性硬化</w:t>
      </w:r>
    </w:p>
    <w:p>
      <w:pPr>
        <w:pStyle w:val="27"/>
        <w:keepNext w:val="0"/>
        <w:keepLines w:val="0"/>
        <w:pageBreakBefore w:val="0"/>
        <w:widowControl w:val="0"/>
        <w:numPr>
          <w:ilvl w:val="0"/>
          <w:numId w:val="40"/>
        </w:numPr>
        <w:shd w:val="clear" w:color="auto" w:fill="auto"/>
        <w:tabs>
          <w:tab w:val="left" w:pos="128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49" w:name="bookmark21"/>
      <w:bookmarkEnd w:id="49"/>
      <w:r>
        <w:rPr>
          <w:rFonts w:hint="eastAsia" w:asciiTheme="minorEastAsia" w:hAnsiTheme="minorEastAsia" w:eastAsiaTheme="minorEastAsia" w:cstheme="minorEastAsia"/>
          <w:color w:val="000000"/>
          <w:spacing w:val="0"/>
          <w:w w:val="100"/>
          <w:kern w:val="0"/>
          <w:position w:val="0"/>
          <w:sz w:val="28"/>
          <w:szCs w:val="28"/>
        </w:rPr>
        <w:t>遗传性血管性水肿</w:t>
      </w:r>
      <w:r>
        <w:rPr>
          <w:rFonts w:hint="eastAsia" w:asciiTheme="minorEastAsia" w:hAnsiTheme="minorEastAsia" w:eastAsiaTheme="minorEastAsia" w:cstheme="minorEastAsia"/>
          <w:color w:val="000000"/>
          <w:spacing w:val="0"/>
          <w:w w:val="100"/>
          <w:kern w:val="0"/>
          <w:position w:val="0"/>
          <w:sz w:val="28"/>
          <w:szCs w:val="28"/>
          <w:lang w:val="en-US" w:eastAsia="en-US" w:bidi="en-US"/>
        </w:rPr>
        <w:t>（HAE）</w:t>
      </w:r>
    </w:p>
    <w:p>
      <w:pPr>
        <w:pStyle w:val="25"/>
        <w:keepNext w:val="0"/>
        <w:keepLines w:val="0"/>
        <w:pageBreakBefore w:val="0"/>
        <w:widowControl w:val="0"/>
        <w:numPr>
          <w:ilvl w:val="0"/>
          <w:numId w:val="40"/>
        </w:numPr>
        <w:shd w:val="clear" w:color="auto" w:fill="auto"/>
        <w:tabs>
          <w:tab w:val="left" w:pos="128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50" w:name="bookmark22"/>
      <w:bookmarkEnd w:id="50"/>
      <w:r>
        <w:rPr>
          <w:rFonts w:hint="eastAsia" w:asciiTheme="minorEastAsia" w:hAnsiTheme="minorEastAsia" w:eastAsiaTheme="minorEastAsia" w:cstheme="minorEastAsia"/>
          <w:color w:val="000000"/>
          <w:spacing w:val="0"/>
          <w:w w:val="100"/>
          <w:kern w:val="0"/>
          <w:position w:val="0"/>
          <w:sz w:val="28"/>
          <w:szCs w:val="28"/>
          <w:lang w:val="en-US" w:eastAsia="en-US" w:bidi="en-US"/>
        </w:rPr>
        <w:t>C</w:t>
      </w:r>
      <w:r>
        <w:rPr>
          <w:rFonts w:hint="eastAsia" w:asciiTheme="minorEastAsia" w:hAnsiTheme="minorEastAsia" w:eastAsiaTheme="minorEastAsia" w:cstheme="minorEastAsia"/>
          <w:color w:val="000000"/>
          <w:spacing w:val="0"/>
          <w:w w:val="100"/>
          <w:kern w:val="0"/>
          <w:position w:val="0"/>
          <w:sz w:val="28"/>
          <w:szCs w:val="28"/>
        </w:rPr>
        <w:t>型尼曼匹克病</w:t>
      </w:r>
    </w:p>
    <w:p>
      <w:pPr>
        <w:pStyle w:val="25"/>
        <w:keepNext w:val="0"/>
        <w:keepLines w:val="0"/>
        <w:pageBreakBefore w:val="0"/>
        <w:widowControl w:val="0"/>
        <w:numPr>
          <w:ilvl w:val="0"/>
          <w:numId w:val="40"/>
        </w:numPr>
        <w:shd w:val="clear" w:color="auto" w:fill="auto"/>
        <w:tabs>
          <w:tab w:val="left" w:pos="128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51" w:name="bookmark23"/>
      <w:bookmarkEnd w:id="51"/>
      <w:r>
        <w:rPr>
          <w:rFonts w:hint="eastAsia" w:asciiTheme="minorEastAsia" w:hAnsiTheme="minorEastAsia" w:eastAsiaTheme="minorEastAsia" w:cstheme="minorEastAsia"/>
          <w:color w:val="000000"/>
          <w:spacing w:val="0"/>
          <w:w w:val="100"/>
          <w:kern w:val="0"/>
          <w:position w:val="0"/>
          <w:sz w:val="28"/>
          <w:szCs w:val="28"/>
        </w:rPr>
        <w:t>肢端肥大症</w:t>
      </w:r>
    </w:p>
    <w:p>
      <w:pPr>
        <w:pStyle w:val="25"/>
        <w:keepNext w:val="0"/>
        <w:keepLines w:val="0"/>
        <w:pageBreakBefore w:val="0"/>
        <w:widowControl w:val="0"/>
        <w:numPr>
          <w:ilvl w:val="0"/>
          <w:numId w:val="40"/>
        </w:numPr>
        <w:shd w:val="clear" w:color="auto" w:fill="auto"/>
        <w:tabs>
          <w:tab w:val="left" w:pos="128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52" w:name="bookmark24"/>
      <w:bookmarkEnd w:id="52"/>
      <w:r>
        <w:rPr>
          <w:rFonts w:hint="eastAsia" w:asciiTheme="minorEastAsia" w:hAnsiTheme="minorEastAsia" w:eastAsiaTheme="minorEastAsia" w:cstheme="minorEastAsia"/>
          <w:color w:val="000000"/>
          <w:spacing w:val="0"/>
          <w:w w:val="100"/>
          <w:kern w:val="0"/>
          <w:position w:val="0"/>
          <w:sz w:val="28"/>
          <w:szCs w:val="28"/>
        </w:rPr>
        <w:t>子宫内膜异位症</w:t>
      </w:r>
    </w:p>
    <w:p>
      <w:pPr>
        <w:pStyle w:val="25"/>
        <w:keepNext w:val="0"/>
        <w:keepLines w:val="0"/>
        <w:pageBreakBefore w:val="0"/>
        <w:widowControl w:val="0"/>
        <w:numPr>
          <w:ilvl w:val="0"/>
          <w:numId w:val="40"/>
        </w:numPr>
        <w:shd w:val="clear" w:color="auto" w:fill="auto"/>
        <w:tabs>
          <w:tab w:val="left" w:pos="128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53" w:name="bookmark25"/>
      <w:bookmarkEnd w:id="53"/>
      <w:r>
        <w:rPr>
          <w:rFonts w:hint="eastAsia" w:asciiTheme="minorEastAsia" w:hAnsiTheme="minorEastAsia" w:eastAsiaTheme="minorEastAsia" w:cstheme="minorEastAsia"/>
          <w:color w:val="000000"/>
          <w:spacing w:val="0"/>
          <w:w w:val="100"/>
          <w:kern w:val="0"/>
          <w:position w:val="0"/>
          <w:sz w:val="28"/>
          <w:szCs w:val="28"/>
        </w:rPr>
        <w:t>黄斑病变</w:t>
      </w:r>
    </w:p>
    <w:p>
      <w:pPr>
        <w:pStyle w:val="25"/>
        <w:keepNext w:val="0"/>
        <w:keepLines w:val="0"/>
        <w:pageBreakBefore w:val="0"/>
        <w:widowControl w:val="0"/>
        <w:numPr>
          <w:ilvl w:val="0"/>
          <w:numId w:val="40"/>
        </w:numPr>
        <w:shd w:val="clear" w:color="auto" w:fill="auto"/>
        <w:tabs>
          <w:tab w:val="left" w:pos="129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54" w:name="bookmark26"/>
      <w:bookmarkEnd w:id="54"/>
      <w:r>
        <w:rPr>
          <w:rFonts w:hint="eastAsia" w:asciiTheme="minorEastAsia" w:hAnsiTheme="minorEastAsia" w:eastAsiaTheme="minorEastAsia" w:cstheme="minorEastAsia"/>
          <w:color w:val="000000"/>
          <w:spacing w:val="0"/>
          <w:w w:val="100"/>
          <w:kern w:val="0"/>
          <w:position w:val="0"/>
          <w:sz w:val="28"/>
          <w:szCs w:val="28"/>
        </w:rPr>
        <w:t>戈谢病</w:t>
      </w:r>
    </w:p>
    <w:p>
      <w:pPr>
        <w:pStyle w:val="25"/>
        <w:keepNext w:val="0"/>
        <w:keepLines w:val="0"/>
        <w:pageBreakBefore w:val="0"/>
        <w:widowControl w:val="0"/>
        <w:numPr>
          <w:ilvl w:val="0"/>
          <w:numId w:val="40"/>
        </w:numPr>
        <w:shd w:val="clear" w:color="auto" w:fill="auto"/>
        <w:tabs>
          <w:tab w:val="left" w:pos="129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55" w:name="bookmark27"/>
      <w:bookmarkEnd w:id="55"/>
      <w:r>
        <w:rPr>
          <w:rFonts w:hint="eastAsia" w:asciiTheme="minorEastAsia" w:hAnsiTheme="minorEastAsia" w:eastAsiaTheme="minorEastAsia" w:cstheme="minorEastAsia"/>
          <w:color w:val="000000"/>
          <w:spacing w:val="0"/>
          <w:w w:val="100"/>
          <w:kern w:val="0"/>
          <w:position w:val="0"/>
          <w:sz w:val="28"/>
          <w:szCs w:val="28"/>
        </w:rPr>
        <w:t>庞贝氏病</w:t>
      </w:r>
    </w:p>
    <w:p>
      <w:pPr>
        <w:pStyle w:val="25"/>
        <w:keepNext w:val="0"/>
        <w:keepLines w:val="0"/>
        <w:pageBreakBefore w:val="0"/>
        <w:widowControl w:val="0"/>
        <w:numPr>
          <w:ilvl w:val="0"/>
          <w:numId w:val="40"/>
        </w:numPr>
        <w:shd w:val="clear" w:color="auto" w:fill="auto"/>
        <w:tabs>
          <w:tab w:val="left" w:pos="129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spacing w:val="0"/>
          <w:kern w:val="0"/>
          <w:sz w:val="28"/>
          <w:szCs w:val="28"/>
        </w:rPr>
      </w:pPr>
      <w:bookmarkStart w:id="56" w:name="bookmark28"/>
      <w:bookmarkEnd w:id="56"/>
      <w:r>
        <w:rPr>
          <w:rFonts w:hint="eastAsia" w:asciiTheme="minorEastAsia" w:hAnsiTheme="minorEastAsia" w:eastAsiaTheme="minorEastAsia" w:cstheme="minorEastAsia"/>
          <w:color w:val="000000"/>
          <w:spacing w:val="0"/>
          <w:w w:val="100"/>
          <w:kern w:val="0"/>
          <w:position w:val="0"/>
          <w:sz w:val="28"/>
          <w:szCs w:val="28"/>
        </w:rPr>
        <w:t>法布雷病</w:t>
      </w:r>
    </w:p>
    <w:p>
      <w:pPr>
        <w:pStyle w:val="25"/>
        <w:keepNext w:val="0"/>
        <w:keepLines w:val="0"/>
        <w:pageBreakBefore w:val="0"/>
        <w:widowControl w:val="0"/>
        <w:numPr>
          <w:ilvl w:val="0"/>
          <w:numId w:val="40"/>
        </w:numPr>
        <w:shd w:val="clear" w:color="auto" w:fill="auto"/>
        <w:tabs>
          <w:tab w:val="left" w:pos="1290"/>
        </w:tabs>
        <w:kinsoku/>
        <w:wordWrap/>
        <w:overflowPunct/>
        <w:topLinePunct w:val="0"/>
        <w:autoSpaceDE/>
        <w:autoSpaceDN/>
        <w:bidi w:val="0"/>
        <w:adjustRightInd/>
        <w:snapToGrid/>
        <w:spacing w:before="0" w:after="180" w:line="240" w:lineRule="auto"/>
        <w:ind w:left="0" w:right="0" w:firstLine="720"/>
        <w:jc w:val="left"/>
        <w:textAlignment w:val="auto"/>
        <w:rPr>
          <w:rFonts w:hint="eastAsia" w:asciiTheme="minorEastAsia" w:hAnsiTheme="minorEastAsia" w:eastAsiaTheme="minorEastAsia" w:cstheme="minorEastAsia"/>
          <w:b/>
          <w:color w:val="000000"/>
          <w:spacing w:val="0"/>
          <w:kern w:val="0"/>
          <w:sz w:val="28"/>
          <w:szCs w:val="28"/>
          <w:lang w:val="zh-TW" w:eastAsia="zh-CN"/>
        </w:rPr>
      </w:pPr>
      <w:bookmarkStart w:id="57" w:name="bookmark29"/>
      <w:bookmarkEnd w:id="57"/>
      <w:r>
        <w:rPr>
          <w:rFonts w:hint="eastAsia" w:asciiTheme="minorEastAsia" w:hAnsiTheme="minorEastAsia" w:eastAsiaTheme="minorEastAsia" w:cstheme="minorEastAsia"/>
          <w:color w:val="000000"/>
          <w:spacing w:val="0"/>
          <w:w w:val="100"/>
          <w:kern w:val="0"/>
          <w:position w:val="0"/>
          <w:sz w:val="28"/>
          <w:szCs w:val="28"/>
        </w:rPr>
        <w:t>转甲状腺素蛋白淀粉样变性心肌病</w:t>
      </w:r>
      <w:bookmarkStart w:id="58" w:name="_Toc26025"/>
    </w:p>
    <w:p>
      <w:pPr>
        <w:pStyle w:val="25"/>
        <w:keepNext w:val="0"/>
        <w:keepLines w:val="0"/>
        <w:pageBreakBefore w:val="0"/>
        <w:widowControl w:val="0"/>
        <w:numPr>
          <w:ilvl w:val="0"/>
          <w:numId w:val="0"/>
        </w:numPr>
        <w:shd w:val="clear" w:color="auto" w:fill="auto"/>
        <w:tabs>
          <w:tab w:val="left" w:pos="1290"/>
        </w:tabs>
        <w:kinsoku/>
        <w:wordWrap/>
        <w:overflowPunct/>
        <w:topLinePunct w:val="0"/>
        <w:autoSpaceDE/>
        <w:autoSpaceDN/>
        <w:bidi w:val="0"/>
        <w:adjustRightInd/>
        <w:snapToGrid/>
        <w:spacing w:before="0" w:after="180" w:line="240" w:lineRule="auto"/>
        <w:ind w:right="0" w:rightChars="0"/>
        <w:jc w:val="left"/>
        <w:textAlignment w:val="auto"/>
        <w:rPr>
          <w:rFonts w:hint="eastAsia" w:asciiTheme="minorEastAsia" w:hAnsiTheme="minorEastAsia" w:eastAsiaTheme="minorEastAsia" w:cstheme="minorEastAsia"/>
          <w:color w:val="000000"/>
          <w:spacing w:val="0"/>
          <w:w w:val="100"/>
          <w:kern w:val="0"/>
          <w:position w:val="0"/>
          <w:sz w:val="28"/>
          <w:szCs w:val="28"/>
        </w:rPr>
      </w:pPr>
    </w:p>
    <w:p>
      <w:pPr>
        <w:pStyle w:val="25"/>
        <w:keepNext w:val="0"/>
        <w:keepLines w:val="0"/>
        <w:pageBreakBefore w:val="0"/>
        <w:widowControl w:val="0"/>
        <w:numPr>
          <w:ilvl w:val="0"/>
          <w:numId w:val="0"/>
        </w:numPr>
        <w:shd w:val="clear" w:color="auto" w:fill="auto"/>
        <w:tabs>
          <w:tab w:val="left" w:pos="1290"/>
        </w:tabs>
        <w:kinsoku/>
        <w:wordWrap/>
        <w:overflowPunct/>
        <w:topLinePunct w:val="0"/>
        <w:autoSpaceDE/>
        <w:autoSpaceDN/>
        <w:bidi w:val="0"/>
        <w:adjustRightInd/>
        <w:snapToGrid/>
        <w:spacing w:before="0" w:after="180" w:line="240" w:lineRule="auto"/>
        <w:ind w:right="0" w:rightChars="0"/>
        <w:jc w:val="left"/>
        <w:textAlignment w:val="auto"/>
        <w:rPr>
          <w:rFonts w:hint="eastAsia" w:asciiTheme="minorEastAsia" w:hAnsiTheme="minorEastAsia" w:eastAsiaTheme="minorEastAsia" w:cstheme="minorEastAsia"/>
          <w:color w:val="000000"/>
          <w:spacing w:val="0"/>
          <w:w w:val="100"/>
          <w:kern w:val="0"/>
          <w:position w:val="0"/>
          <w:sz w:val="28"/>
          <w:szCs w:val="28"/>
        </w:rPr>
      </w:pPr>
    </w:p>
    <w:p>
      <w:pPr>
        <w:pStyle w:val="25"/>
        <w:keepNext w:val="0"/>
        <w:keepLines w:val="0"/>
        <w:pageBreakBefore w:val="0"/>
        <w:widowControl w:val="0"/>
        <w:numPr>
          <w:ilvl w:val="0"/>
          <w:numId w:val="0"/>
        </w:numPr>
        <w:shd w:val="clear" w:color="auto" w:fill="auto"/>
        <w:tabs>
          <w:tab w:val="left" w:pos="1290"/>
        </w:tabs>
        <w:kinsoku/>
        <w:wordWrap/>
        <w:overflowPunct/>
        <w:topLinePunct w:val="0"/>
        <w:autoSpaceDE/>
        <w:autoSpaceDN/>
        <w:bidi w:val="0"/>
        <w:adjustRightInd/>
        <w:snapToGrid/>
        <w:spacing w:before="0" w:after="180" w:line="240" w:lineRule="auto"/>
        <w:ind w:right="0" w:rightChars="0"/>
        <w:jc w:val="left"/>
        <w:textAlignment w:val="auto"/>
        <w:rPr>
          <w:rFonts w:hint="eastAsia" w:asciiTheme="minorEastAsia" w:hAnsiTheme="minorEastAsia" w:eastAsiaTheme="minorEastAsia" w:cstheme="minorEastAsia"/>
          <w:color w:val="000000"/>
          <w:spacing w:val="0"/>
          <w:w w:val="100"/>
          <w:kern w:val="0"/>
          <w:position w:val="0"/>
          <w:sz w:val="28"/>
          <w:szCs w:val="28"/>
        </w:rPr>
      </w:pPr>
    </w:p>
    <w:p>
      <w:pPr>
        <w:pStyle w:val="25"/>
        <w:keepNext w:val="0"/>
        <w:keepLines w:val="0"/>
        <w:pageBreakBefore w:val="0"/>
        <w:widowControl w:val="0"/>
        <w:numPr>
          <w:ilvl w:val="0"/>
          <w:numId w:val="0"/>
        </w:numPr>
        <w:shd w:val="clear" w:color="auto" w:fill="auto"/>
        <w:tabs>
          <w:tab w:val="left" w:pos="1290"/>
        </w:tabs>
        <w:kinsoku/>
        <w:wordWrap/>
        <w:overflowPunct/>
        <w:topLinePunct w:val="0"/>
        <w:autoSpaceDE/>
        <w:autoSpaceDN/>
        <w:bidi w:val="0"/>
        <w:adjustRightInd/>
        <w:snapToGrid/>
        <w:spacing w:before="0" w:after="180" w:line="240" w:lineRule="auto"/>
        <w:ind w:right="0" w:rightChars="0"/>
        <w:jc w:val="left"/>
        <w:textAlignment w:val="auto"/>
        <w:rPr>
          <w:rFonts w:hint="eastAsia" w:asciiTheme="minorEastAsia" w:hAnsiTheme="minorEastAsia" w:eastAsiaTheme="minorEastAsia" w:cstheme="minorEastAsia"/>
          <w:color w:val="000000"/>
          <w:spacing w:val="0"/>
          <w:w w:val="100"/>
          <w:kern w:val="0"/>
          <w:position w:val="0"/>
          <w:sz w:val="28"/>
          <w:szCs w:val="28"/>
          <w:lang w:val="zh-TW" w:eastAsia="zh-CN"/>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color w:val="000000"/>
          <w:spacing w:val="0"/>
          <w:kern w:val="0"/>
          <w:sz w:val="36"/>
          <w:szCs w:val="36"/>
          <w:lang w:val="zh-TW" w:eastAsia="zh-CN"/>
        </w:rPr>
      </w:pPr>
      <w:r>
        <w:rPr>
          <w:rFonts w:hint="eastAsia" w:asciiTheme="minorEastAsia" w:hAnsiTheme="minorEastAsia" w:eastAsiaTheme="minorEastAsia" w:cstheme="minorEastAsia"/>
          <w:b/>
          <w:color w:val="000000"/>
          <w:spacing w:val="0"/>
          <w:kern w:val="0"/>
          <w:sz w:val="36"/>
          <w:szCs w:val="36"/>
          <w:lang w:val="en-US" w:eastAsia="zh-CN"/>
        </w:rPr>
        <w:t>二</w:t>
      </w:r>
      <w:r>
        <w:rPr>
          <w:rFonts w:hint="eastAsia" w:asciiTheme="minorEastAsia" w:hAnsiTheme="minorEastAsia" w:eastAsiaTheme="minorEastAsia" w:cstheme="minorEastAsia"/>
          <w:b/>
          <w:color w:val="000000"/>
          <w:spacing w:val="0"/>
          <w:kern w:val="0"/>
          <w:sz w:val="36"/>
          <w:szCs w:val="36"/>
          <w:lang w:val="zh-TW" w:eastAsia="zh-CN"/>
        </w:rPr>
        <w:t>、儿童康复治疗</w:t>
      </w:r>
      <w:bookmarkEnd w:id="58"/>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（一）保障范围</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已参加我市居民基本医疗保险，经二级及以上公立医院出具诊断证明、有相应康复适应指征，且经定点专业机构评估有康复潜力的0-17周岁(含17周岁)的脑瘫、智力、听力、视力、言语、肢体等残疾儿童和孤独症儿童。</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default"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（二）申请流程</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以上疾病儿童或监控人，持定点专业医疗机构出具的相关残疾或疑似残疾诊断证明，填写《滨州市残疾儿童精准康复服务申请审核表》，向县(市、区)医保、残联部门申请。符合康复条件人员可自愿选择一家定点医疗康复机构救治，定点医疗康复机构一经选定，一个医疗年度(自然年度)内不得变更。</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（三）支付标准</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spacing w:val="0"/>
          <w:kern w:val="0"/>
          <w:sz w:val="28"/>
          <w:szCs w:val="28"/>
          <w:lang w:val="zh-TW" w:eastAsia="zh-CN"/>
        </w:rPr>
      </w:pPr>
      <w:r>
        <w:rPr>
          <w:rFonts w:hint="eastAsia" w:asciiTheme="minorEastAsia" w:hAnsiTheme="minorEastAsia" w:eastAsiaTheme="minorEastAsia" w:cstheme="minorEastAsia"/>
          <w:color w:val="000000"/>
          <w:spacing w:val="0"/>
          <w:kern w:val="0"/>
          <w:sz w:val="28"/>
          <w:szCs w:val="28"/>
          <w:lang w:val="en-US" w:eastAsia="zh-CN"/>
        </w:rPr>
        <w:t>脑瘫患儿门诊(日间病房)康复，医保基金按照每天100元标准支付，其他患儿分别按每天60元标准支付。</w:t>
      </w:r>
      <w:r>
        <w:rPr>
          <w:rFonts w:hint="eastAsia" w:asciiTheme="minorEastAsia" w:hAnsiTheme="minorEastAsia" w:eastAsiaTheme="minorEastAsia" w:cstheme="minorEastAsia"/>
          <w:color w:val="000000"/>
          <w:spacing w:val="0"/>
          <w:kern w:val="0"/>
          <w:sz w:val="28"/>
          <w:szCs w:val="28"/>
          <w:lang w:val="zh-TW" w:eastAsia="zh-CN"/>
        </w:rPr>
        <w:t>每天每人只允许报销一次。</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zh-TW" w:eastAsia="zh-CN"/>
        </w:rPr>
        <w:t>（</w:t>
      </w:r>
      <w:r>
        <w:rPr>
          <w:rFonts w:hint="eastAsia" w:asciiTheme="minorEastAsia" w:hAnsiTheme="minorEastAsia" w:eastAsiaTheme="minorEastAsia" w:cstheme="minorEastAsia"/>
          <w:b/>
          <w:color w:val="000000"/>
          <w:spacing w:val="0"/>
          <w:kern w:val="0"/>
          <w:sz w:val="28"/>
          <w:szCs w:val="28"/>
          <w:lang w:val="en-US" w:eastAsia="zh-CN"/>
        </w:rPr>
        <w:t>四</w:t>
      </w:r>
      <w:r>
        <w:rPr>
          <w:rFonts w:hint="eastAsia" w:asciiTheme="minorEastAsia" w:hAnsiTheme="minorEastAsia" w:eastAsiaTheme="minorEastAsia" w:cstheme="minorEastAsia"/>
          <w:b/>
          <w:color w:val="000000"/>
          <w:spacing w:val="0"/>
          <w:kern w:val="0"/>
          <w:sz w:val="28"/>
          <w:szCs w:val="28"/>
          <w:lang w:val="zh-TW" w:eastAsia="zh-CN"/>
        </w:rPr>
        <w:t>）</w:t>
      </w:r>
      <w:r>
        <w:rPr>
          <w:rFonts w:hint="eastAsia" w:asciiTheme="minorEastAsia" w:hAnsiTheme="minorEastAsia" w:eastAsiaTheme="minorEastAsia" w:cstheme="minorEastAsia"/>
          <w:b/>
          <w:color w:val="000000"/>
          <w:spacing w:val="0"/>
          <w:kern w:val="0"/>
          <w:sz w:val="28"/>
          <w:szCs w:val="28"/>
          <w:lang w:val="en-US" w:eastAsia="zh-CN"/>
        </w:rPr>
        <w:t>康复训练期限</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根据残疾儿童医疗康复特点，实行机构内集中康复期训练。脑瘫、孤独症、智力残疾儿童集中康复训练一般不超过4年，视力、听力、言语残疾儿童集中康复训练一般不超过2年，每个医疗年度为220-270天。对已满集中康复训练年限、经评估仍需康复训练的残疾儿童，采取“机构+社区+家庭”的形式，其中机构内康复训练期限一般为3个月，时间为66-1天。机构内基本康复训练每天不少于3小时(不含家长培训),训练项目不少于5项，每节课不少于30分钟(国家、省另有规定的除外)。</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color w:val="000000"/>
          <w:spacing w:val="0"/>
          <w:kern w:val="0"/>
          <w:sz w:val="36"/>
          <w:szCs w:val="36"/>
          <w:lang w:val="en-US" w:eastAsia="zh-CN"/>
        </w:rPr>
      </w:pPr>
      <w:r>
        <w:rPr>
          <w:rFonts w:hint="eastAsia" w:asciiTheme="minorEastAsia" w:hAnsiTheme="minorEastAsia" w:eastAsiaTheme="minorEastAsia" w:cstheme="minorEastAsia"/>
          <w:b/>
          <w:color w:val="000000"/>
          <w:spacing w:val="0"/>
          <w:kern w:val="0"/>
          <w:sz w:val="36"/>
          <w:szCs w:val="36"/>
          <w:lang w:val="en-US" w:eastAsia="zh-CN"/>
        </w:rPr>
        <w:t>三、严重精神障碍患者医疗保障</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（一）严重精神障碍范围</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包括精神分裂症、分裂性情感障碍、偏执性精神病、双相[情感]障碍、癫痫所致精神障碍，精神发育迟滞伴发精神障碍等6种精神疾病。</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（二）严重精神障碍起付标准和年度支付限额</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严重精神障碍患者不设门诊慢性病起付标准，医保基金年度支付限额10000元。政策范围内医药费用居民按70%报销。</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（三）严重精神障碍患者大病保险支付</w:t>
      </w:r>
    </w:p>
    <w:p>
      <w:pPr>
        <w:pStyle w:val="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严重精神障碍参保居民的门诊慢性病和住院费用按规定纳入居民大病保险支付范围。做好基本医疗保险、居民大病保险和医疗救助政策衔接与服务对接。严重精神障碍参保职工由大额医疗费用补助、补充医疗保险支付的门诊慢性病费用，按原规定解决。对建档立卡贫困人口、低保对象、特困人员、重度残疾人等贫困人口中的严重精神障碍患者，落实居民大病保险倾斜性政策。起付标准降低至5000元，个人负担合规医疗费用5000元以上(含)、10万元以下部分给予65%补偿，10万元以上(含)、30万元以下的部分给予75%补偿，30万元(含)以上的部分给予85%，取消其居民大病保险最高支付限额。</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（四）严重精神障碍患者补助支付标准</w:t>
      </w:r>
    </w:p>
    <w:p>
      <w:pPr>
        <w:pStyle w:val="9"/>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自2023自然年起按医院星级结算，一星级：一级(未定级)医院，按20元/床日结算；二级医院，按25元/床日结算；三级医院，按50元/床日结算；居家服药按照1元/人日结算，根据工作开展情况予以调整。</w:t>
      </w:r>
    </w:p>
    <w:p>
      <w:pPr>
        <w:pStyle w:val="9"/>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医院每提升一个星级,下一自然年度一级(未定级)、二级医院每床日增加1元，三级医院每床日增加2元,直到达五星级为止。医院每降低一个星级,从降星的下一季度起,一级(未定级)、二级医院每床日减少1元，三级医院每床日减少2元，直到取消定点医院资格。</w:t>
      </w:r>
    </w:p>
    <w:p>
      <w:pPr>
        <w:keepNext w:val="0"/>
        <w:keepLines w:val="0"/>
        <w:pageBreakBefore w:val="0"/>
        <w:kinsoku/>
        <w:wordWrap/>
        <w:overflowPunct/>
        <w:topLinePunct w:val="0"/>
        <w:autoSpaceDE/>
        <w:autoSpaceDN/>
        <w:bidi w:val="0"/>
        <w:adjustRightInd/>
        <w:snapToGrid/>
        <w:spacing w:before="239" w:line="560" w:lineRule="exact"/>
        <w:ind w:right="1611"/>
        <w:textAlignment w:val="auto"/>
        <w:rPr>
          <w:rFonts w:hint="eastAsia" w:asciiTheme="minorEastAsia" w:hAnsiTheme="minorEastAsia" w:eastAsiaTheme="minorEastAsia" w:cstheme="minorEastAsia"/>
          <w:b/>
          <w:color w:val="000000"/>
          <w:spacing w:val="0"/>
          <w:kern w:val="0"/>
          <w:sz w:val="36"/>
          <w:szCs w:val="36"/>
          <w:lang w:val="en-US" w:eastAsia="zh-CN"/>
        </w:rPr>
      </w:pPr>
      <w:r>
        <w:rPr>
          <w:rFonts w:hint="eastAsia" w:asciiTheme="minorEastAsia" w:hAnsiTheme="minorEastAsia" w:eastAsiaTheme="minorEastAsia" w:cstheme="minorEastAsia"/>
          <w:b/>
          <w:color w:val="000000"/>
          <w:spacing w:val="0"/>
          <w:kern w:val="0"/>
          <w:sz w:val="36"/>
          <w:szCs w:val="36"/>
          <w:lang w:val="en-US" w:eastAsia="zh-CN"/>
        </w:rPr>
        <w:t>四、肺结核、慢性病毒性肝炎等认定标准</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bookmarkStart w:id="59" w:name="_Toc27033"/>
      <w:r>
        <w:rPr>
          <w:rFonts w:hint="eastAsia" w:asciiTheme="minorEastAsia" w:hAnsiTheme="minorEastAsia" w:eastAsiaTheme="minorEastAsia" w:cstheme="minorEastAsia"/>
          <w:b/>
          <w:color w:val="000000"/>
          <w:spacing w:val="0"/>
          <w:kern w:val="0"/>
          <w:sz w:val="28"/>
          <w:szCs w:val="28"/>
          <w:lang w:val="en-US" w:eastAsia="zh-CN"/>
        </w:rPr>
        <w:t>（一）肺结核</w:t>
      </w:r>
      <w:bookmarkEnd w:id="59"/>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具有县级及以上结核病定点医疗机构诊断证明,并符合以下条件之一：</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1、肺部有异常阴影，痰或气管镜灌洗液抗酸杆菌或分枝杆菌培养或结核杆菌 DNA及病理证实的病原学阳性肺结核。</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2、肺部有异常阴影,痰菌3次检查为阴性或培养阴性，满足以下任何一条，即可诊断为菌阴肺结核：</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(1)有肺结核相关症状或体征。</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(2)PPD试验强阳性。</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(3)r-干扰素释放试验阳性。</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(4)肺外组织病理为结核病变。</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(5)支气管镜下符合结核病改变。</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(6)免疫学、分子生物学、生化酶检查,其中一项阳性, 并排除其他肺部疾病。</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(7)经诊断性治疗证实有效的菌阴肺结核。</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3、影像学提示胸腔积液(干性胸膜炎可无异常) , 同时满足以下任何一条,即可确诊结核性胸膜炎：</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(1)胸膜病理检查支持结核。</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(2)胸水抗酸杆菌阳性2次。</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(3)胸水抗酸杆菌阳性1次，结核分枝杆菌培养阳性1 次。</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(4)胸水结核分枝杆菌核酸检测阳性。</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4、病原学阴性的结核性胸膜炎,胸水为渗出液、腺昔脱氨酶升高,同时伴有PPD中度阳性或强阳性或r-干扰素释放试验阳性,或结核分枝杆菌抗体阳性,即可临床诊断。</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5、经诊断性治疗证实有效的结核性胸膜炎。</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bookmarkStart w:id="60" w:name="_Toc11058"/>
      <w:r>
        <w:rPr>
          <w:rFonts w:hint="eastAsia" w:asciiTheme="minorEastAsia" w:hAnsiTheme="minorEastAsia" w:eastAsiaTheme="minorEastAsia" w:cstheme="minorEastAsia"/>
          <w:b/>
          <w:color w:val="000000"/>
          <w:spacing w:val="0"/>
          <w:kern w:val="0"/>
          <w:sz w:val="28"/>
          <w:szCs w:val="28"/>
          <w:lang w:val="en-US" w:eastAsia="zh-CN"/>
        </w:rPr>
        <w:t>（二）肺外其他部位结核</w:t>
      </w:r>
      <w:bookmarkEnd w:id="60"/>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具有县级及以上结核病定点医疗机构诊断证明,并符合以下条件之一：</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1、有肺结核病史或伴有其他器官结核病依据。</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2、有结核病的全身症状和局部症状。</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3、X线、CT、结核菌、免疫学、分子生物学、生化酶检查、病理检查,其中一项阳性,或PPD试验中度阳性或强阳性,或r-干扰素释放试验阳性。</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4、经诊断性治疗证实有效的肺外结核病。</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bookmarkStart w:id="61" w:name="_Toc17814"/>
      <w:r>
        <w:rPr>
          <w:rFonts w:hint="eastAsia" w:asciiTheme="minorEastAsia" w:hAnsiTheme="minorEastAsia" w:eastAsiaTheme="minorEastAsia" w:cstheme="minorEastAsia"/>
          <w:b/>
          <w:color w:val="000000"/>
          <w:spacing w:val="0"/>
          <w:kern w:val="0"/>
          <w:sz w:val="28"/>
          <w:szCs w:val="28"/>
          <w:lang w:val="en-US" w:eastAsia="zh-CN"/>
        </w:rPr>
        <w:t>（三）耐多药结核(MDR-TB)和广泛耐药结核(XDR-TB)</w:t>
      </w:r>
      <w:bookmarkEnd w:id="61"/>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1、耐多药结核(MDR-TB)：患者感染的结核分支杆菌体外药敏试验证实至少同时对异烟肼和利福平耐药的结核病。</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2、广泛耐药性结核(MDR-TB )：符合MDR/RR-TB的定义同时对任意一种氟喹诺酮药物以及任意一种二线注射剂耐药的结核病。</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注：氟喹诺酮药物包括：氧氟沙星、左氧氟沙星、莫西沙星；</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二线注射剂包括：阿米卡星(链霉素) 、卷曲霉素、卡那霉素、对氨基水杨酸。</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bookmarkStart w:id="62" w:name="_Toc17037"/>
      <w:r>
        <w:rPr>
          <w:rFonts w:hint="eastAsia" w:asciiTheme="minorEastAsia" w:hAnsiTheme="minorEastAsia" w:eastAsiaTheme="minorEastAsia" w:cstheme="minorEastAsia"/>
          <w:b/>
          <w:color w:val="000000"/>
          <w:spacing w:val="0"/>
          <w:kern w:val="0"/>
          <w:sz w:val="28"/>
          <w:szCs w:val="28"/>
          <w:lang w:val="en-US" w:eastAsia="zh-CN"/>
        </w:rPr>
        <w:t>（四）慢性乙型病毒性肝炎</w:t>
      </w:r>
      <w:bookmarkEnd w:id="62"/>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1、有慢性乙型肝炎病毒感染史，HBsAg阳性，HBV DNA定量阳性，并符合以下标准之一：</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(1)ALT异常(≥ULN)并排除其他原因。</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(2)肝组织学检查有明显炎症(&gt;G2)或纤维化( ≥S2)。</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(3)ALT持续正常(每3-6个月检查1次，持续12个月) ,年龄超过30岁患者符合下述情况之一：有肝硬化或肝癌家族史；或无肝硬化或肝癌家族史,但肝脏弹性测定或肝组织学检查有明显炎症(&gt;G2)或纤维化(≥S2)。</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(4)存在HBV相关的肝外表现(肾小球肾炎、血管炎、结节性多动脉炎、周围神经病变等)。</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(5)HBsAg阳性,肝移植后或因为其他疾病需要应用免疫抑制剂治疗,为防止乙肝发作需要长期抗病毒治疗的。</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2、对于不符合上述1标准，或既往病史不清，缺乏上述抗病毒治疗依据，但已遵医嘱应用抗病毒药物6个月以上，目前HBsAg阳性，HBV DNA阳性或阴性,专科医生认为需继续抗病毒治疗者。</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bookmarkStart w:id="63" w:name="_Toc27181"/>
      <w:r>
        <w:rPr>
          <w:rFonts w:hint="eastAsia" w:asciiTheme="minorEastAsia" w:hAnsiTheme="minorEastAsia" w:eastAsiaTheme="minorEastAsia" w:cstheme="minorEastAsia"/>
          <w:b/>
          <w:color w:val="000000"/>
          <w:spacing w:val="0"/>
          <w:kern w:val="0"/>
          <w:sz w:val="28"/>
          <w:szCs w:val="28"/>
          <w:lang w:val="en-US" w:eastAsia="zh-CN"/>
        </w:rPr>
        <w:t>（五）慢性丙型病毒性肝炎</w:t>
      </w:r>
      <w:bookmarkEnd w:id="63"/>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需同时具备以下条件：</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1、HCV感染(HCV抗体或RNA阳性)超过6个月,或有6个月以前的流行病学史,或感染日期不明但有ALT持续或间断异常或慢性肝病证据(除外其他病因)。</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2、HCVRNA阳性。</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（六）肝硬化</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有慢性肝病史，或病史不清，且符合下列表现之一：</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1、肝组织活检病理符合肝硬化。</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2、出现或曾经有过食道胃底静脉破裂出血或腹水或肝性脑病或肝肾综合征等并发症。</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3、曾在二级以上医院住院诊断为肝硬化。</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4、符合以下5项中的2项及以上，并排除非肝硬化门静脉高压者：</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(1)影像学检查显示肝硬化、腹水或门静脉高压征象之一。</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(2)内镜检查显示食管胃底静脉曲张。</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(3)肝脏硬度值测定符合肝硬化。</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(4)血生化学检查显示白蛋白水平降低(&lt;35g/L)和(或) PT延长(较对照延长) 3S)。</w:t>
      </w:r>
    </w:p>
    <w:p>
      <w:pPr>
        <w:pStyle w:val="9"/>
        <w:keepNext w:val="0"/>
        <w:keepLines w:val="0"/>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color w:val="000000"/>
          <w:spacing w:val="0"/>
          <w:kern w:val="0"/>
          <w:sz w:val="28"/>
          <w:szCs w:val="28"/>
          <w:lang w:val="en-US" w:eastAsia="zh-CN"/>
        </w:rPr>
      </w:pPr>
      <w:r>
        <w:rPr>
          <w:rFonts w:hint="eastAsia" w:asciiTheme="minorEastAsia" w:hAnsiTheme="minorEastAsia" w:eastAsiaTheme="minorEastAsia" w:cstheme="minorEastAsia"/>
          <w:b w:val="0"/>
          <w:bCs/>
          <w:color w:val="000000"/>
          <w:spacing w:val="0"/>
          <w:kern w:val="0"/>
          <w:sz w:val="28"/>
          <w:szCs w:val="28"/>
          <w:lang w:val="en-US" w:eastAsia="zh-CN"/>
        </w:rPr>
        <w:t>(5)血常规检查显示血小板4500计数&lt;100X109/L。</w:t>
      </w:r>
    </w:p>
    <w:p>
      <w:pPr>
        <w:pStyle w:val="2"/>
        <w:keepNext/>
        <w:keepLines/>
        <w:widowControl w:val="0"/>
        <w:wordWrap/>
        <w:adjustRightInd/>
        <w:snapToGrid/>
        <w:spacing w:before="0" w:after="0" w:line="240" w:lineRule="auto"/>
        <w:jc w:val="center"/>
        <w:textAlignment w:val="auto"/>
        <w:outlineLvl w:val="9"/>
        <w:rPr>
          <w:rFonts w:hint="eastAsia" w:ascii="黑体" w:hAnsi="黑体" w:eastAsia="黑体" w:cs="黑体"/>
          <w:sz w:val="32"/>
          <w:lang w:val="en-US" w:eastAsia="zh-CN"/>
        </w:rPr>
      </w:pPr>
      <w:bookmarkStart w:id="64" w:name="_Toc10279"/>
      <w:bookmarkStart w:id="65" w:name="_Toc3079"/>
    </w:p>
    <w:p>
      <w:pPr>
        <w:pStyle w:val="2"/>
        <w:keepNext/>
        <w:keepLines/>
        <w:widowControl w:val="0"/>
        <w:wordWrap/>
        <w:adjustRightInd/>
        <w:snapToGrid/>
        <w:spacing w:before="0" w:after="0" w:line="24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66" w:name="_Toc28123"/>
      <w:bookmarkStart w:id="67" w:name="_Toc17098"/>
      <w:r>
        <w:rPr>
          <w:rFonts w:hint="eastAsia" w:asciiTheme="majorEastAsia" w:hAnsiTheme="majorEastAsia" w:eastAsiaTheme="majorEastAsia" w:cstheme="majorEastAsia"/>
          <w:sz w:val="44"/>
          <w:szCs w:val="44"/>
          <w:lang w:val="en-US" w:eastAsia="zh-CN"/>
        </w:rPr>
        <w:t>第三章 异地就医</w:t>
      </w:r>
      <w:bookmarkEnd w:id="64"/>
      <w:bookmarkEnd w:id="65"/>
      <w:r>
        <w:rPr>
          <w:rFonts w:hint="eastAsia" w:asciiTheme="majorEastAsia" w:hAnsiTheme="majorEastAsia" w:eastAsiaTheme="majorEastAsia" w:cstheme="majorEastAsia"/>
          <w:sz w:val="44"/>
          <w:szCs w:val="44"/>
          <w:lang w:val="en-US" w:eastAsia="zh-CN"/>
        </w:rPr>
        <w:t>政策</w:t>
      </w:r>
      <w:bookmarkEnd w:id="66"/>
      <w:bookmarkEnd w:id="67"/>
    </w:p>
    <w:p>
      <w:pPr>
        <w:widowControl/>
        <w:jc w:val="left"/>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一、基本政策</w:t>
      </w:r>
    </w:p>
    <w:p>
      <w:pPr>
        <w:pStyle w:val="9"/>
        <w:jc w:val="both"/>
        <w:rPr>
          <w:rFonts w:hint="eastAsia" w:eastAsia="等线"/>
          <w:color w:val="auto"/>
          <w:lang w:eastAsia="zh-CN"/>
        </w:rPr>
      </w:pPr>
    </w:p>
    <w:tbl>
      <w:tblPr>
        <w:tblStyle w:val="15"/>
        <w:tblW w:w="9585"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1444"/>
        <w:gridCol w:w="6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042"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b/>
                <w:bCs/>
                <w:color w:val="auto"/>
                <w:kern w:val="2"/>
                <w:sz w:val="20"/>
                <w:szCs w:val="20"/>
                <w:lang w:val="en-US" w:eastAsia="zh-CN" w:bidi="ar-SA"/>
              </w:rPr>
            </w:pPr>
            <w:r>
              <w:rPr>
                <w:rFonts w:hint="eastAsia" w:asciiTheme="minorEastAsia" w:hAnsiTheme="minorEastAsia" w:eastAsiaTheme="minorEastAsia" w:cstheme="minorEastAsia"/>
                <w:b/>
                <w:bCs/>
                <w:color w:val="auto"/>
                <w:kern w:val="2"/>
                <w:sz w:val="20"/>
                <w:szCs w:val="20"/>
                <w:lang w:val="en-US" w:eastAsia="zh-CN" w:bidi="ar-SA"/>
              </w:rPr>
              <w:t>人员类别</w:t>
            </w:r>
          </w:p>
        </w:tc>
        <w:tc>
          <w:tcPr>
            <w:tcW w:w="1444"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b/>
                <w:bCs/>
                <w:color w:val="auto"/>
                <w:kern w:val="2"/>
                <w:sz w:val="20"/>
                <w:szCs w:val="20"/>
                <w:lang w:val="en-US" w:eastAsia="zh-CN" w:bidi="ar-SA"/>
              </w:rPr>
            </w:pPr>
            <w:r>
              <w:rPr>
                <w:rFonts w:hint="eastAsia" w:asciiTheme="minorEastAsia" w:hAnsiTheme="minorEastAsia" w:eastAsiaTheme="minorEastAsia" w:cstheme="minorEastAsia"/>
                <w:b/>
                <w:bCs/>
                <w:color w:val="auto"/>
                <w:kern w:val="2"/>
                <w:sz w:val="20"/>
                <w:szCs w:val="20"/>
                <w:lang w:val="en-US" w:eastAsia="zh-CN" w:bidi="ar-SA"/>
              </w:rPr>
              <w:t>起付线（元）</w:t>
            </w:r>
          </w:p>
        </w:tc>
        <w:tc>
          <w:tcPr>
            <w:tcW w:w="6099"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b/>
                <w:bCs/>
                <w:color w:val="auto"/>
                <w:kern w:val="2"/>
                <w:sz w:val="20"/>
                <w:szCs w:val="20"/>
                <w:lang w:val="en-US" w:eastAsia="zh-CN" w:bidi="ar-SA"/>
              </w:rPr>
            </w:pPr>
            <w:r>
              <w:rPr>
                <w:rFonts w:hint="eastAsia" w:asciiTheme="minorEastAsia" w:hAnsiTheme="minorEastAsia" w:eastAsiaTheme="minorEastAsia" w:cstheme="minorEastAsia"/>
                <w:b/>
                <w:bCs/>
                <w:color w:val="auto"/>
                <w:kern w:val="2"/>
                <w:sz w:val="20"/>
                <w:szCs w:val="20"/>
                <w:lang w:val="en-US" w:eastAsia="zh-CN" w:bidi="ar-SA"/>
              </w:rPr>
              <w:t>报销比例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42"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b/>
                <w:bCs/>
                <w:color w:val="auto"/>
                <w:kern w:val="2"/>
                <w:sz w:val="20"/>
                <w:szCs w:val="20"/>
                <w:lang w:val="en-US" w:eastAsia="zh-CN" w:bidi="ar-SA"/>
              </w:rPr>
              <w:t>异地长期居住人员</w:t>
            </w:r>
          </w:p>
        </w:tc>
        <w:tc>
          <w:tcPr>
            <w:tcW w:w="1444"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执行参保地起付线</w:t>
            </w:r>
          </w:p>
        </w:tc>
        <w:tc>
          <w:tcPr>
            <w:tcW w:w="6099"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在备案地就医，执行参保地医保报销比例、就异地目录；备案地以外，按临时外出就医政策执行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042"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b/>
                <w:bCs/>
                <w:color w:val="auto"/>
                <w:kern w:val="2"/>
                <w:sz w:val="20"/>
                <w:szCs w:val="20"/>
                <w:lang w:val="en-US" w:eastAsia="zh-CN" w:bidi="ar-SA"/>
              </w:rPr>
              <w:t>临时外出就医人员</w:t>
            </w:r>
          </w:p>
        </w:tc>
        <w:tc>
          <w:tcPr>
            <w:tcW w:w="1444"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执行参保地起付线</w:t>
            </w:r>
          </w:p>
        </w:tc>
        <w:tc>
          <w:tcPr>
            <w:tcW w:w="6099"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滨州市参保人员省内跨市、跨省住院首先自付5%；</w:t>
            </w:r>
          </w:p>
          <w:p>
            <w:pPr>
              <w:pStyle w:val="9"/>
              <w:widowControl w:val="0"/>
              <w:numPr>
                <w:ilvl w:val="0"/>
                <w:numId w:val="0"/>
              </w:numPr>
              <w:jc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执行参保地报销比例、就医地目录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2042" w:type="dxa"/>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jc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b/>
                <w:bCs/>
                <w:color w:val="auto"/>
                <w:kern w:val="2"/>
                <w:sz w:val="20"/>
                <w:szCs w:val="20"/>
                <w:lang w:val="en-US" w:eastAsia="zh-CN" w:bidi="ar-SA"/>
              </w:rPr>
              <w:t>备注</w:t>
            </w:r>
          </w:p>
        </w:tc>
        <w:tc>
          <w:tcPr>
            <w:tcW w:w="7543" w:type="dxa"/>
            <w:gridSpan w:val="2"/>
            <w:tcBorders>
              <w:top w:val="single" w:color="auto" w:sz="4" w:space="0"/>
              <w:left w:val="single" w:color="auto" w:sz="4" w:space="0"/>
              <w:bottom w:val="single" w:color="auto" w:sz="4" w:space="0"/>
              <w:right w:val="single" w:color="auto" w:sz="4" w:space="0"/>
            </w:tcBorders>
            <w:vAlign w:val="center"/>
          </w:tcPr>
          <w:p>
            <w:pPr>
              <w:pStyle w:val="9"/>
              <w:widowControl w:val="0"/>
              <w:numPr>
                <w:ilvl w:val="0"/>
                <w:numId w:val="0"/>
              </w:numPr>
              <w:tabs>
                <w:tab w:val="left" w:pos="2015"/>
              </w:tabs>
              <w:jc w:val="left"/>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参保人员省内跨市、跨省异地就医不受签约基层医疗机构范围和等级限制，均可享受门诊统筹待遇并实现联网结算，异地与本地报销金额合并计算，不超过当年度门诊统筹报销额度。</w:t>
            </w:r>
          </w:p>
        </w:tc>
      </w:tr>
    </w:tbl>
    <w:p>
      <w:pPr>
        <w:keepNext w:val="0"/>
        <w:keepLines w:val="0"/>
        <w:pageBreakBefore w:val="0"/>
        <w:widowControl/>
        <w:numPr>
          <w:ilvl w:val="0"/>
          <w:numId w:val="41"/>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联网报销</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我省已简化了异地就医手续，外出就医参保人员就医时持医保卡（医保电子凭证）直接联网结算；跨省异地就医人员需要先备案。</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三、备案方式</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b/>
          <w:color w:val="000000"/>
          <w:spacing w:val="0"/>
          <w:kern w:val="0"/>
          <w:sz w:val="28"/>
          <w:szCs w:val="28"/>
          <w:lang w:val="en-US" w:eastAsia="zh-CN"/>
        </w:rPr>
        <w:t>一）掌上办理</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lang w:eastAsia="zh-CN"/>
        </w:rPr>
      </w:pPr>
      <w:r>
        <w:rPr>
          <w:rFonts w:hint="eastAsia" w:asciiTheme="minorEastAsia" w:hAnsiTheme="minorEastAsia" w:eastAsiaTheme="minorEastAsia" w:cstheme="minorEastAsia"/>
          <w:color w:val="000000"/>
          <w:kern w:val="0"/>
          <w:sz w:val="28"/>
          <w:szCs w:val="28"/>
        </w:rPr>
        <w:t>参保人可通过“国家医保服务平台 APP-异地备案-异地就医备案申请”自助办理备案（</w:t>
      </w:r>
      <w:r>
        <w:rPr>
          <w:rFonts w:hint="eastAsia" w:asciiTheme="minorEastAsia" w:hAnsiTheme="minorEastAsia" w:eastAsiaTheme="minorEastAsia" w:cstheme="minorEastAsia"/>
          <w:b/>
          <w:bCs/>
          <w:color w:val="000000"/>
          <w:kern w:val="0"/>
          <w:sz w:val="28"/>
          <w:szCs w:val="28"/>
        </w:rPr>
        <w:t>仅限跨省异地就医</w:t>
      </w: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eastAsia="zh-CN"/>
        </w:rPr>
        <w:t>。</w:t>
      </w:r>
    </w:p>
    <w:p>
      <w:pPr>
        <w:keepNext w:val="0"/>
        <w:keepLines w:val="0"/>
        <w:pageBreakBefore w:val="0"/>
        <w:widowControl/>
        <w:numPr>
          <w:ilvl w:val="0"/>
          <w:numId w:val="42"/>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现场办理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通过各级医保政务服务大厅窗口或医保服务站办理。</w:t>
      </w:r>
    </w:p>
    <w:p>
      <w:pPr>
        <w:keepNext w:val="0"/>
        <w:keepLines w:val="0"/>
        <w:pageBreakBefore w:val="0"/>
        <w:widowControl/>
        <w:numPr>
          <w:ilvl w:val="0"/>
          <w:numId w:val="42"/>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0"/>
          <w:sz w:val="28"/>
          <w:szCs w:val="28"/>
          <w:lang w:val="en-US" w:eastAsia="zh-CN"/>
        </w:rPr>
      </w:pPr>
      <w:r>
        <w:rPr>
          <w:rFonts w:hint="eastAsia" w:asciiTheme="minorEastAsia" w:hAnsiTheme="minorEastAsia" w:eastAsiaTheme="minorEastAsia" w:cstheme="minorEastAsia"/>
          <w:b/>
          <w:bCs/>
          <w:color w:val="000000"/>
          <w:kern w:val="0"/>
          <w:sz w:val="28"/>
          <w:szCs w:val="28"/>
          <w:lang w:val="en-US" w:eastAsia="zh-CN"/>
        </w:rPr>
        <w:t>电话办理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val="en-US" w:eastAsia="zh-CN"/>
        </w:rPr>
        <w:t>参保人可拨打当地</w:t>
      </w:r>
      <w:r>
        <w:rPr>
          <w:rFonts w:hint="eastAsia" w:asciiTheme="minorEastAsia" w:hAnsiTheme="minorEastAsia" w:eastAsiaTheme="minorEastAsia" w:cstheme="minorEastAsia"/>
          <w:color w:val="000000"/>
          <w:kern w:val="0"/>
          <w:sz w:val="28"/>
          <w:szCs w:val="28"/>
        </w:rPr>
        <w:t>医保政务服务大厅窗口</w:t>
      </w:r>
      <w:r>
        <w:rPr>
          <w:rFonts w:hint="eastAsia" w:asciiTheme="minorEastAsia" w:hAnsiTheme="minorEastAsia" w:eastAsiaTheme="minorEastAsia" w:cstheme="minorEastAsia"/>
          <w:color w:val="000000"/>
          <w:kern w:val="0"/>
          <w:sz w:val="28"/>
          <w:szCs w:val="28"/>
          <w:lang w:val="en-US" w:eastAsia="zh-CN"/>
        </w:rPr>
        <w:t>电话咨询办理。</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四、报销原则</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目前异地就医住院费用直接结算报销可以概括为“就医地目录，参保地政策”。就医地目录指参保人</w:t>
      </w:r>
      <w:r>
        <w:rPr>
          <w:rFonts w:hint="eastAsia" w:asciiTheme="minorEastAsia" w:hAnsiTheme="minorEastAsia" w:eastAsiaTheme="minorEastAsia" w:cstheme="minorEastAsia"/>
          <w:color w:val="000000"/>
          <w:kern w:val="0"/>
          <w:sz w:val="28"/>
          <w:szCs w:val="28"/>
          <w:lang w:val="en-US" w:eastAsia="zh-CN"/>
        </w:rPr>
        <w:t>异地</w:t>
      </w:r>
      <w:r>
        <w:rPr>
          <w:rFonts w:hint="eastAsia" w:asciiTheme="minorEastAsia" w:hAnsiTheme="minorEastAsia" w:eastAsiaTheme="minorEastAsia" w:cstheme="minorEastAsia"/>
          <w:color w:val="000000"/>
          <w:kern w:val="0"/>
          <w:sz w:val="28"/>
          <w:szCs w:val="28"/>
        </w:rPr>
        <w:t>就医原则上执行就医地支付范围，主要包括基本医疗药品目录、诊疗目录和医疗服务设施标准。参保地政策是指参保人</w:t>
      </w:r>
      <w:r>
        <w:rPr>
          <w:rFonts w:hint="eastAsia" w:asciiTheme="minorEastAsia" w:hAnsiTheme="minorEastAsia" w:eastAsiaTheme="minorEastAsia" w:cstheme="minorEastAsia"/>
          <w:color w:val="000000"/>
          <w:kern w:val="0"/>
          <w:sz w:val="28"/>
          <w:szCs w:val="28"/>
          <w:lang w:val="en-US" w:eastAsia="zh-CN"/>
        </w:rPr>
        <w:t>异地</w:t>
      </w:r>
      <w:r>
        <w:rPr>
          <w:rFonts w:hint="eastAsia" w:asciiTheme="minorEastAsia" w:hAnsiTheme="minorEastAsia" w:eastAsiaTheme="minorEastAsia" w:cstheme="minorEastAsia"/>
          <w:color w:val="000000"/>
          <w:kern w:val="0"/>
          <w:sz w:val="28"/>
          <w:szCs w:val="28"/>
        </w:rPr>
        <w:t>就医原则上执行参保地支付政策，包括参保地医保基金的起付线、支付比例和最高支付限额。</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五、联网结算费用范围</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rPr>
        <w:t>异地就医联网结算</w:t>
      </w:r>
      <w:r>
        <w:rPr>
          <w:rFonts w:hint="eastAsia" w:asciiTheme="minorEastAsia" w:hAnsiTheme="minorEastAsia" w:eastAsiaTheme="minorEastAsia" w:cstheme="minorEastAsia"/>
          <w:color w:val="000000"/>
          <w:kern w:val="0"/>
          <w:sz w:val="28"/>
          <w:szCs w:val="28"/>
          <w:lang w:val="en-US" w:eastAsia="zh-CN"/>
        </w:rPr>
        <w:t>费用</w:t>
      </w:r>
      <w:r>
        <w:rPr>
          <w:rFonts w:hint="eastAsia" w:asciiTheme="minorEastAsia" w:hAnsiTheme="minorEastAsia" w:eastAsiaTheme="minorEastAsia" w:cstheme="minorEastAsia"/>
          <w:color w:val="000000"/>
          <w:kern w:val="0"/>
          <w:sz w:val="28"/>
          <w:szCs w:val="28"/>
        </w:rPr>
        <w:t>包括</w:t>
      </w:r>
      <w:r>
        <w:rPr>
          <w:rFonts w:hint="eastAsia" w:asciiTheme="minorEastAsia" w:hAnsiTheme="minorEastAsia" w:eastAsiaTheme="minorEastAsia" w:cstheme="minorEastAsia"/>
          <w:color w:val="000000"/>
          <w:kern w:val="0"/>
          <w:sz w:val="28"/>
          <w:szCs w:val="28"/>
          <w:lang w:val="en-US" w:eastAsia="zh-CN"/>
        </w:rPr>
        <w:t>三</w:t>
      </w:r>
      <w:r>
        <w:rPr>
          <w:rFonts w:hint="eastAsia" w:asciiTheme="minorEastAsia" w:hAnsiTheme="minorEastAsia" w:eastAsiaTheme="minorEastAsia" w:cstheme="minorEastAsia"/>
          <w:color w:val="000000"/>
          <w:kern w:val="0"/>
          <w:sz w:val="28"/>
          <w:szCs w:val="28"/>
        </w:rPr>
        <w:t>部分：住院费用、普通门诊费用及门诊慢特病费用。</w:t>
      </w:r>
      <w:r>
        <w:rPr>
          <w:rFonts w:hint="eastAsia" w:asciiTheme="minorEastAsia" w:hAnsiTheme="minorEastAsia" w:eastAsiaTheme="minorEastAsia" w:cstheme="minorEastAsia"/>
          <w:color w:val="000000"/>
          <w:kern w:val="0"/>
          <w:sz w:val="28"/>
          <w:szCs w:val="28"/>
          <w:lang w:val="en-US" w:eastAsia="zh-CN"/>
        </w:rPr>
        <w:t>病种仅限正常疾病，意外和生育相关疾病需到窗口咨询各地报销政策。</w:t>
      </w:r>
      <w:bookmarkStart w:id="68" w:name="_Toc30380"/>
      <w:bookmarkStart w:id="69" w:name="_Toc10285"/>
      <w:bookmarkStart w:id="70" w:name="_Toc12885"/>
    </w:p>
    <w:p>
      <w:pPr>
        <w:widowControl/>
        <w:jc w:val="center"/>
        <w:rPr>
          <w:rFonts w:hint="eastAsia" w:asciiTheme="majorEastAsia" w:hAnsiTheme="majorEastAsia" w:eastAsiaTheme="majorEastAsia" w:cstheme="majorEastAsia"/>
          <w:b/>
          <w:bCs/>
          <w:sz w:val="44"/>
          <w:szCs w:val="44"/>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Theme="majorEastAsia" w:hAnsiTheme="majorEastAsia" w:eastAsiaTheme="majorEastAsia" w:cstheme="majorEastAsia"/>
          <w:b/>
          <w:bCs/>
          <w:sz w:val="44"/>
          <w:szCs w:val="44"/>
          <w:lang w:val="en-US" w:eastAsia="zh-CN"/>
        </w:rPr>
      </w:pPr>
      <w:bookmarkStart w:id="71" w:name="_Toc22384"/>
      <w:r>
        <w:rPr>
          <w:rFonts w:hint="eastAsia" w:asciiTheme="majorEastAsia" w:hAnsiTheme="majorEastAsia" w:eastAsiaTheme="majorEastAsia" w:cstheme="majorEastAsia"/>
          <w:b/>
          <w:bCs/>
          <w:sz w:val="44"/>
          <w:szCs w:val="44"/>
          <w:lang w:val="en-US" w:eastAsia="zh-CN"/>
        </w:rPr>
        <w:t>第四章 居民参保登记及参保待遇政策</w:t>
      </w:r>
      <w:bookmarkEnd w:id="68"/>
      <w:bookmarkEnd w:id="69"/>
      <w:bookmarkEnd w:id="70"/>
      <w:bookmarkEnd w:id="71"/>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36"/>
          <w:szCs w:val="36"/>
          <w:lang w:val="en-US" w:eastAsia="zh-CN"/>
        </w:rPr>
      </w:pPr>
      <w:r>
        <w:rPr>
          <w:rFonts w:hint="eastAsia" w:asciiTheme="minorEastAsia" w:hAnsiTheme="minorEastAsia" w:eastAsiaTheme="minorEastAsia" w:cstheme="minorEastAsia"/>
          <w:b/>
          <w:bCs/>
          <w:kern w:val="2"/>
          <w:sz w:val="36"/>
          <w:szCs w:val="36"/>
          <w:lang w:val="en-US" w:eastAsia="zh-CN" w:bidi="ar-SA"/>
        </w:rPr>
        <w:t>一、普通居民</w:t>
      </w:r>
      <w:r>
        <w:rPr>
          <w:rFonts w:hint="eastAsia" w:asciiTheme="minorEastAsia" w:hAnsiTheme="minorEastAsia" w:eastAsiaTheme="minorEastAsia" w:cstheme="minorEastAsia"/>
          <w:b/>
          <w:bCs/>
          <w:sz w:val="36"/>
          <w:szCs w:val="36"/>
          <w:lang w:val="en-US" w:eastAsia="zh-CN"/>
        </w:rPr>
        <w:t xml:space="preserve">参保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（一）新参保</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户口所在地居民持身份证或户口本，非户口所在地居民持身份证、居住证，到就近乡镇、街道便民服务中心医保经办窗口办理，也可通过微信、支付宝“本地医保</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 xml:space="preserve">小程序线上办理。在集中缴费期内通过税务部门提供的线上或线下缴费渠道完成缴费的，自次年1月1日起即可正常享受居民基本医疗保险待遇。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（二）续保</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之前年度已在医保部门办理过城乡居民基本医疗保险参保登记的居民，可在集中缴费期内直接通过税务部门提供的线上或线下缴费渠道完成缴费，自次年 1 月 1 日起即可正常享受居民基本医疗保险待遇。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spacing w:val="0"/>
          <w:kern w:val="0"/>
          <w:sz w:val="28"/>
          <w:szCs w:val="28"/>
          <w:lang w:val="en-US" w:eastAsia="zh-CN"/>
        </w:rPr>
      </w:pPr>
      <w:bookmarkStart w:id="72" w:name="_Toc24801"/>
      <w:r>
        <w:rPr>
          <w:rFonts w:hint="eastAsia" w:asciiTheme="minorEastAsia" w:hAnsiTheme="minorEastAsia" w:eastAsiaTheme="minorEastAsia" w:cstheme="minorEastAsia"/>
          <w:b/>
          <w:color w:val="000000"/>
          <w:spacing w:val="0"/>
          <w:kern w:val="0"/>
          <w:sz w:val="28"/>
          <w:szCs w:val="28"/>
          <w:lang w:val="en-US" w:eastAsia="zh-CN"/>
        </w:rPr>
        <w:t>（三）集中缴费期</w:t>
      </w:r>
      <w:bookmarkEnd w:id="72"/>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28"/>
          <w:szCs w:val="28"/>
        </w:rPr>
      </w:pPr>
      <w:r>
        <w:rPr>
          <w:rFonts w:hint="eastAsia" w:asciiTheme="minorEastAsia" w:hAnsiTheme="minorEastAsia" w:eastAsiaTheme="minorEastAsia" w:cstheme="minorEastAsia"/>
          <w:color w:val="000000"/>
          <w:kern w:val="0"/>
          <w:sz w:val="28"/>
          <w:szCs w:val="28"/>
        </w:rPr>
        <w:t>自2022年起居民基本医疗保险集中缴费期统一为每年的9－12月份。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spacing w:val="0"/>
          <w:kern w:val="0"/>
          <w:sz w:val="28"/>
          <w:szCs w:val="28"/>
          <w:lang w:val="en-US" w:eastAsia="zh-CN"/>
        </w:rPr>
      </w:pPr>
      <w:bookmarkStart w:id="73" w:name="_Toc26955"/>
      <w:r>
        <w:rPr>
          <w:rFonts w:hint="eastAsia" w:asciiTheme="minorEastAsia" w:hAnsiTheme="minorEastAsia" w:eastAsiaTheme="minorEastAsia" w:cstheme="minorEastAsia"/>
          <w:b/>
          <w:color w:val="000000"/>
          <w:spacing w:val="0"/>
          <w:kern w:val="0"/>
          <w:sz w:val="28"/>
          <w:szCs w:val="28"/>
          <w:lang w:val="en-US" w:eastAsia="zh-CN"/>
        </w:rPr>
        <w:t>（四）待遇享受时间</w:t>
      </w:r>
      <w:bookmarkEnd w:id="73"/>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居民在集中缴费期按时缴纳保险费的，自次年1月1日起享受居民基本医疗保险待遇；次年1月1日后缴费的，居民缴纳个人缴费部分后，设置3个月的待遇享受等待期，即需缴费满3个月后方可享受基本医保待遇。</w:t>
      </w:r>
      <w:r>
        <w:rPr>
          <w:rFonts w:hint="eastAsia" w:asciiTheme="minorEastAsia" w:hAnsiTheme="minorEastAsia" w:eastAsiaTheme="minorEastAsia" w:cstheme="minorEastAsia"/>
          <w:color w:val="000000"/>
          <w:kern w:val="0"/>
          <w:sz w:val="28"/>
          <w:szCs w:val="28"/>
          <w:lang w:val="en-US" w:eastAsia="zh-CN"/>
        </w:rPr>
        <w:t>不满3个月可以回当地医保局咨询，是否享受报销待遇。</w:t>
      </w:r>
      <w:r>
        <w:rPr>
          <w:rFonts w:hint="eastAsia" w:asciiTheme="minorEastAsia" w:hAnsiTheme="minorEastAsia" w:eastAsiaTheme="minorEastAsia" w:cstheme="minorEastAsia"/>
          <w:color w:val="000000"/>
          <w:kern w:val="0"/>
          <w:sz w:val="28"/>
          <w:szCs w:val="28"/>
        </w:rPr>
        <w:t xml:space="preserve">低保对象、特困人员等低收入人口和返贫致贫人口参加居民基本医疗保险，不设置待遇享受等待期。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36"/>
          <w:szCs w:val="36"/>
          <w:lang w:val="en-US" w:eastAsia="zh-CN"/>
        </w:rPr>
      </w:pPr>
      <w:r>
        <w:rPr>
          <w:rFonts w:hint="eastAsia" w:asciiTheme="minorEastAsia" w:hAnsiTheme="minorEastAsia" w:eastAsiaTheme="minorEastAsia" w:cstheme="minorEastAsia"/>
          <w:b/>
          <w:bCs/>
          <w:sz w:val="36"/>
          <w:szCs w:val="36"/>
          <w:lang w:val="en-US" w:eastAsia="zh-CN"/>
        </w:rPr>
        <w:t>二、新生儿参保</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新生儿自出生之日起6个月内办理基本医疗保险参保手续并缴费的，自出生之日起享受基本医疗保险待遇；超过6个月的，自缴费的次月起享受基本医疗保险待遇；超过12个月的，按普通居民缴费及享受待遇相应政策规定执行。</w:t>
      </w:r>
    </w:p>
    <w:p>
      <w:pPr>
        <w:widowControl/>
        <w:jc w:val="left"/>
        <w:rPr>
          <w:rFonts w:hint="eastAsia" w:asciiTheme="minorEastAsia" w:hAnsiTheme="minorEastAsia" w:eastAsiaTheme="minorEastAsia" w:cstheme="minorEastAsia"/>
          <w:sz w:val="28"/>
          <w:szCs w:val="28"/>
        </w:rPr>
      </w:pPr>
    </w:p>
    <w:p>
      <w:pPr>
        <w:pStyle w:val="2"/>
        <w:pageBreakBefore w:val="0"/>
        <w:kinsoku/>
        <w:wordWrap/>
        <w:overflowPunct/>
        <w:topLinePunct w:val="0"/>
        <w:autoSpaceDE/>
        <w:autoSpaceDN/>
        <w:bidi w:val="0"/>
        <w:adjustRightInd/>
        <w:snapToGrid/>
        <w:spacing w:before="0" w:after="0" w:line="36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74" w:name="_Toc26200"/>
      <w:bookmarkStart w:id="75" w:name="_Toc18542"/>
      <w:bookmarkStart w:id="76" w:name="_Toc25565"/>
      <w:bookmarkStart w:id="77" w:name="_Toc25800"/>
      <w:r>
        <w:rPr>
          <w:rFonts w:hint="eastAsia" w:asciiTheme="majorEastAsia" w:hAnsiTheme="majorEastAsia" w:eastAsiaTheme="majorEastAsia" w:cstheme="majorEastAsia"/>
          <w:sz w:val="44"/>
          <w:szCs w:val="44"/>
          <w:lang w:val="en-US" w:eastAsia="zh-CN"/>
        </w:rPr>
        <w:t xml:space="preserve">第五章 </w:t>
      </w:r>
      <w:r>
        <w:rPr>
          <w:rFonts w:hint="eastAsia" w:asciiTheme="majorEastAsia" w:hAnsiTheme="majorEastAsia" w:eastAsiaTheme="majorEastAsia" w:cstheme="majorEastAsia"/>
          <w:sz w:val="44"/>
          <w:szCs w:val="44"/>
        </w:rPr>
        <w:t>生育保险</w:t>
      </w:r>
      <w:bookmarkEnd w:id="74"/>
      <w:bookmarkEnd w:id="75"/>
      <w:r>
        <w:rPr>
          <w:rFonts w:hint="eastAsia" w:asciiTheme="majorEastAsia" w:hAnsiTheme="majorEastAsia" w:eastAsiaTheme="majorEastAsia" w:cstheme="majorEastAsia"/>
          <w:sz w:val="44"/>
          <w:szCs w:val="44"/>
          <w:lang w:val="en-US" w:eastAsia="zh-CN"/>
        </w:rPr>
        <w:t>政策</w:t>
      </w:r>
      <w:bookmarkEnd w:id="76"/>
      <w:bookmarkEnd w:id="77"/>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eastAsia="zh-CN"/>
        </w:rPr>
      </w:pPr>
      <w:r>
        <w:rPr>
          <w:rFonts w:hint="eastAsia" w:asciiTheme="minorEastAsia" w:hAnsiTheme="minorEastAsia" w:eastAsiaTheme="minorEastAsia" w:cstheme="minorEastAsia"/>
          <w:b/>
          <w:color w:val="000000"/>
          <w:kern w:val="0"/>
          <w:sz w:val="36"/>
          <w:szCs w:val="36"/>
          <w:lang w:val="en-US" w:eastAsia="zh-CN"/>
        </w:rPr>
        <w:t>一、报销方式</w:t>
      </w:r>
      <w:r>
        <w:rPr>
          <w:rFonts w:hint="eastAsia" w:asciiTheme="minorEastAsia" w:hAnsiTheme="minorEastAsia" w:eastAsiaTheme="minorEastAsia" w:cstheme="minorEastAsia"/>
          <w:b/>
          <w:color w:val="000000"/>
          <w:kern w:val="0"/>
          <w:sz w:val="36"/>
          <w:szCs w:val="36"/>
          <w:lang w:eastAsia="zh-CN"/>
        </w:rPr>
        <w:t xml:space="preserve"> </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目前有三种方式： </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lang w:eastAsia="zh-CN"/>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一</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是在定点医疗机构联网报销，即时结算，参保职工仅需支付自付部分医疗费用</w:t>
      </w:r>
      <w:r>
        <w:rPr>
          <w:rFonts w:hint="eastAsia" w:asciiTheme="minorEastAsia" w:hAnsiTheme="minorEastAsia" w:eastAsiaTheme="minorEastAsia" w:cstheme="minorEastAsia"/>
          <w:color w:val="000000"/>
          <w:kern w:val="0"/>
          <w:sz w:val="28"/>
          <w:szCs w:val="28"/>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二</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是线上零跑腿办理生育保险待遇，那就是通过“鲁</w:t>
      </w:r>
      <w:r>
        <w:rPr>
          <w:rFonts w:hint="eastAsia" w:asciiTheme="minorEastAsia" w:hAnsiTheme="minorEastAsia" w:eastAsiaTheme="minorEastAsia" w:cstheme="minorEastAsia"/>
          <w:color w:val="000000"/>
          <w:kern w:val="0"/>
          <w:sz w:val="28"/>
          <w:szCs w:val="28"/>
          <w:lang w:val="en-US" w:eastAsia="zh-CN"/>
        </w:rPr>
        <w:t>医</w:t>
      </w:r>
      <w:r>
        <w:rPr>
          <w:rFonts w:hint="eastAsia" w:asciiTheme="minorEastAsia" w:hAnsiTheme="minorEastAsia" w:eastAsiaTheme="minorEastAsia" w:cstheme="minorEastAsia"/>
          <w:color w:val="000000"/>
          <w:kern w:val="0"/>
          <w:sz w:val="28"/>
          <w:szCs w:val="28"/>
        </w:rPr>
        <w:t xml:space="preserve">保”“滨州医保”小程序，上传生育报销材料，由参保地医保经办机构审核通过后，确定报销待遇。 </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三</w:t>
      </w:r>
      <w:r>
        <w:rPr>
          <w:rFonts w:hint="eastAsia" w:asciiTheme="minorEastAsia" w:hAnsiTheme="minorEastAsia" w:eastAsiaTheme="minorEastAsia" w:cstheme="minorEastAsia"/>
          <w:color w:val="000000"/>
          <w:kern w:val="0"/>
          <w:sz w:val="28"/>
          <w:szCs w:val="28"/>
          <w:lang w:val="en-US" w:eastAsia="zh-CN"/>
        </w:rPr>
        <w:t>)</w:t>
      </w:r>
      <w:r>
        <w:rPr>
          <w:rFonts w:hint="eastAsia" w:asciiTheme="minorEastAsia" w:hAnsiTheme="minorEastAsia" w:eastAsiaTheme="minorEastAsia" w:cstheme="minorEastAsia"/>
          <w:color w:val="000000"/>
          <w:kern w:val="0"/>
          <w:sz w:val="28"/>
          <w:szCs w:val="28"/>
        </w:rPr>
        <w:t>是现场办理</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参保职工</w:t>
      </w:r>
      <w:r>
        <w:rPr>
          <w:rFonts w:hint="eastAsia" w:asciiTheme="minorEastAsia" w:hAnsiTheme="minorEastAsia" w:eastAsiaTheme="minorEastAsia" w:cstheme="minorEastAsia"/>
          <w:color w:val="000000"/>
          <w:kern w:val="0"/>
          <w:sz w:val="28"/>
          <w:szCs w:val="28"/>
          <w:lang w:val="en-US" w:eastAsia="zh-CN"/>
        </w:rPr>
        <w:t>或</w:t>
      </w:r>
      <w:r>
        <w:rPr>
          <w:rFonts w:hint="eastAsia" w:asciiTheme="minorEastAsia" w:hAnsiTheme="minorEastAsia" w:eastAsiaTheme="minorEastAsia" w:cstheme="minorEastAsia"/>
          <w:color w:val="000000"/>
          <w:kern w:val="0"/>
          <w:sz w:val="28"/>
          <w:szCs w:val="28"/>
        </w:rPr>
        <w:t xml:space="preserve">单位医保经办人向参保地医保经办机构提交报销材料，由医疗保险经办机构审核确定生育保险待遇。 </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 xml:space="preserve">二、享受条件 </w:t>
      </w:r>
    </w:p>
    <w:p>
      <w:pPr>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连续足额缴费满3个月，出院时可享受医疗生育保险报销。连续足额缴费满12个月，可在微信“滨州医保”小程序中申请生育</w:t>
      </w:r>
      <w:r>
        <w:rPr>
          <w:rFonts w:hint="eastAsia" w:asciiTheme="minorEastAsia" w:hAnsiTheme="minorEastAsia" w:eastAsiaTheme="minorEastAsia" w:cstheme="minorEastAsia"/>
          <w:color w:val="000000"/>
          <w:kern w:val="0"/>
          <w:sz w:val="28"/>
          <w:szCs w:val="28"/>
        </w:rPr>
        <w:t>津贴</w:t>
      </w:r>
      <w:r>
        <w:rPr>
          <w:rFonts w:hint="eastAsia" w:asciiTheme="minorEastAsia" w:hAnsiTheme="minorEastAsia" w:eastAsiaTheme="minorEastAsia" w:cstheme="minorEastAsia"/>
          <w:color w:val="000000"/>
          <w:kern w:val="0"/>
          <w:sz w:val="28"/>
          <w:szCs w:val="28"/>
          <w:lang w:val="en-US" w:eastAsia="zh-CN"/>
        </w:rPr>
        <w:t>或者定点医疗机构直接申请生育津贴。</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三、报销待遇</w:t>
      </w:r>
    </w:p>
    <w:p>
      <w:pPr>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（一）生育医疗费</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lang w:eastAsia="zh-CN"/>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参加生育保险的女职工，符合国家计划生育政策生育，住院分娩及分娩出现的生育并发症、合并症医疗费政策范围内的不分甲乙类100%报销</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产前检查费、引（流）产医疗费、计划生育手术医疗费</w:t>
      </w:r>
      <w:r>
        <w:rPr>
          <w:rFonts w:hint="eastAsia" w:asciiTheme="minorEastAsia" w:hAnsiTheme="minorEastAsia" w:eastAsiaTheme="minorEastAsia" w:cstheme="minorEastAsia"/>
          <w:color w:val="000000"/>
          <w:kern w:val="0"/>
          <w:sz w:val="28"/>
          <w:szCs w:val="28"/>
          <w:lang w:val="en-US" w:eastAsia="zh-CN"/>
        </w:rPr>
        <w:t>住院按正常比例报销</w:t>
      </w:r>
      <w:r>
        <w:rPr>
          <w:rFonts w:hint="eastAsia" w:asciiTheme="minorEastAsia" w:hAnsiTheme="minorEastAsia" w:eastAsiaTheme="minorEastAsia" w:cstheme="minorEastAsia"/>
          <w:color w:val="000000"/>
          <w:kern w:val="0"/>
          <w:sz w:val="28"/>
          <w:szCs w:val="28"/>
        </w:rPr>
        <w:t>。灵活就业人员生育医疗费</w:t>
      </w:r>
      <w:r>
        <w:rPr>
          <w:rFonts w:hint="eastAsia" w:asciiTheme="minorEastAsia" w:hAnsiTheme="minorEastAsia" w:eastAsiaTheme="minorEastAsia" w:cstheme="minorEastAsia"/>
          <w:color w:val="000000"/>
          <w:kern w:val="0"/>
          <w:sz w:val="28"/>
          <w:szCs w:val="28"/>
          <w:lang w:val="en-US" w:eastAsia="zh-CN"/>
        </w:rPr>
        <w:t>享受和职工生育医疗费同等待遇。</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val="en-US" w:eastAsia="zh-CN"/>
        </w:rPr>
        <w:t>2.参</w:t>
      </w:r>
      <w:r>
        <w:rPr>
          <w:rFonts w:hint="eastAsia" w:asciiTheme="minorEastAsia" w:hAnsiTheme="minorEastAsia" w:eastAsiaTheme="minorEastAsia" w:cstheme="minorEastAsia"/>
          <w:color w:val="000000"/>
          <w:kern w:val="0"/>
          <w:sz w:val="28"/>
          <w:szCs w:val="28"/>
        </w:rPr>
        <w:t>加生育保险男职工</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其</w:t>
      </w:r>
      <w:r>
        <w:rPr>
          <w:rFonts w:hint="eastAsia" w:asciiTheme="minorEastAsia" w:hAnsiTheme="minorEastAsia" w:eastAsiaTheme="minorEastAsia" w:cstheme="minorEastAsia"/>
          <w:color w:val="000000"/>
          <w:kern w:val="0"/>
          <w:sz w:val="28"/>
          <w:szCs w:val="28"/>
        </w:rPr>
        <w:t>配偶</w:t>
      </w:r>
      <w:r>
        <w:rPr>
          <w:rFonts w:hint="eastAsia" w:asciiTheme="minorEastAsia" w:hAnsiTheme="minorEastAsia" w:eastAsiaTheme="minorEastAsia" w:cstheme="minorEastAsia"/>
          <w:color w:val="000000"/>
          <w:kern w:val="0"/>
          <w:sz w:val="28"/>
          <w:szCs w:val="28"/>
          <w:lang w:eastAsia="zh-CN"/>
        </w:rPr>
        <w:t>无工作且未以灵活就业人员参加职工医保</w:t>
      </w:r>
      <w:r>
        <w:rPr>
          <w:rFonts w:hint="eastAsia" w:asciiTheme="minorEastAsia" w:hAnsiTheme="minorEastAsia" w:eastAsiaTheme="minorEastAsia" w:cstheme="minorEastAsia"/>
          <w:color w:val="000000"/>
          <w:kern w:val="0"/>
          <w:sz w:val="28"/>
          <w:szCs w:val="28"/>
          <w:lang w:val="en-US" w:eastAsia="zh-CN"/>
        </w:rPr>
        <w:t>、</w:t>
      </w:r>
      <w:r>
        <w:rPr>
          <w:rFonts w:hint="eastAsia" w:asciiTheme="minorEastAsia" w:hAnsiTheme="minorEastAsia" w:eastAsiaTheme="minorEastAsia" w:cstheme="minorEastAsia"/>
          <w:color w:val="000000"/>
          <w:kern w:val="0"/>
          <w:sz w:val="28"/>
          <w:szCs w:val="28"/>
        </w:rPr>
        <w:t>未享受生育医疗费待遇的，住院分娩及分娩出现的生育并发症、合并症医疗费政策范围内的不分甲乙类</w:t>
      </w:r>
      <w:r>
        <w:rPr>
          <w:rFonts w:hint="eastAsia" w:asciiTheme="minorEastAsia" w:hAnsiTheme="minorEastAsia" w:eastAsiaTheme="minorEastAsia" w:cstheme="minorEastAsia"/>
          <w:color w:val="000000"/>
          <w:kern w:val="0"/>
          <w:sz w:val="28"/>
          <w:szCs w:val="28"/>
          <w:lang w:val="en-US" w:eastAsia="zh-CN"/>
        </w:rPr>
        <w:t>按50%</w:t>
      </w:r>
      <w:r>
        <w:rPr>
          <w:rFonts w:hint="eastAsia" w:asciiTheme="minorEastAsia" w:hAnsiTheme="minorEastAsia" w:eastAsiaTheme="minorEastAsia" w:cstheme="minorEastAsia"/>
          <w:color w:val="000000"/>
          <w:kern w:val="0"/>
          <w:sz w:val="28"/>
          <w:szCs w:val="28"/>
        </w:rPr>
        <w:t xml:space="preserve">报销。 </w:t>
      </w:r>
    </w:p>
    <w:p>
      <w:pPr>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（二）生育津贴 </w:t>
      </w:r>
    </w:p>
    <w:p>
      <w:pPr>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生育津贴按照职工所在用人单位上年度职工月平均工资除以30天乘以产假天数计发。生育津贴和工资不重复享受。 </w:t>
      </w:r>
    </w:p>
    <w:p>
      <w:pPr>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（三）产前检查费 </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生育门诊产前检查费按照1000元的定额标准，随生育津贴一并发放。</w:t>
      </w:r>
    </w:p>
    <w:p>
      <w:pPr>
        <w:pStyle w:val="2"/>
        <w:pageBreakBefore w:val="0"/>
        <w:kinsoku/>
        <w:wordWrap/>
        <w:overflowPunct/>
        <w:topLinePunct w:val="0"/>
        <w:autoSpaceDE/>
        <w:autoSpaceDN/>
        <w:bidi w:val="0"/>
        <w:adjustRightInd/>
        <w:snapToGrid/>
        <w:spacing w:before="0" w:after="0" w:line="360" w:lineRule="auto"/>
        <w:jc w:val="center"/>
        <w:textAlignment w:val="auto"/>
        <w:outlineLvl w:val="9"/>
        <w:rPr>
          <w:rFonts w:hint="eastAsia" w:asciiTheme="minorEastAsia" w:hAnsiTheme="minorEastAsia" w:eastAsiaTheme="minorEastAsia" w:cstheme="minorEastAsia"/>
          <w:sz w:val="28"/>
          <w:szCs w:val="28"/>
          <w:lang w:val="en-US" w:eastAsia="zh-CN"/>
        </w:rPr>
      </w:pPr>
      <w:bookmarkStart w:id="78" w:name="_Toc2195"/>
      <w:bookmarkStart w:id="79" w:name="_Toc18910"/>
    </w:p>
    <w:p>
      <w:pPr>
        <w:pStyle w:val="2"/>
        <w:pageBreakBefore w:val="0"/>
        <w:kinsoku/>
        <w:wordWrap/>
        <w:overflowPunct/>
        <w:topLinePunct w:val="0"/>
        <w:autoSpaceDE/>
        <w:autoSpaceDN/>
        <w:bidi w:val="0"/>
        <w:adjustRightInd/>
        <w:snapToGrid/>
        <w:spacing w:before="0" w:after="0" w:line="36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80" w:name="_Toc24425"/>
      <w:bookmarkStart w:id="81" w:name="_Toc18578"/>
      <w:r>
        <w:rPr>
          <w:rFonts w:hint="eastAsia" w:asciiTheme="majorEastAsia" w:hAnsiTheme="majorEastAsia" w:eastAsiaTheme="majorEastAsia" w:cstheme="majorEastAsia"/>
          <w:sz w:val="44"/>
          <w:szCs w:val="44"/>
          <w:lang w:val="en-US" w:eastAsia="zh-CN"/>
        </w:rPr>
        <w:t xml:space="preserve">第六章 </w:t>
      </w:r>
      <w:r>
        <w:rPr>
          <w:rFonts w:hint="eastAsia" w:asciiTheme="majorEastAsia" w:hAnsiTheme="majorEastAsia" w:eastAsiaTheme="majorEastAsia" w:cstheme="majorEastAsia"/>
          <w:sz w:val="44"/>
          <w:szCs w:val="44"/>
        </w:rPr>
        <w:t>双通道</w:t>
      </w:r>
      <w:bookmarkEnd w:id="78"/>
      <w:bookmarkEnd w:id="79"/>
      <w:r>
        <w:rPr>
          <w:rFonts w:hint="eastAsia" w:asciiTheme="majorEastAsia" w:hAnsiTheme="majorEastAsia" w:eastAsiaTheme="majorEastAsia" w:cstheme="majorEastAsia"/>
          <w:sz w:val="44"/>
          <w:szCs w:val="44"/>
          <w:lang w:val="en-US" w:eastAsia="zh-CN"/>
        </w:rPr>
        <w:t>政策</w:t>
      </w:r>
      <w:bookmarkEnd w:id="80"/>
      <w:bookmarkEnd w:id="81"/>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一、双通道定义</w:t>
      </w:r>
    </w:p>
    <w:p>
      <w:pPr>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“双通道”是指通过定点医疗机构和定点零售药店两个渠道，满足谈判药品供应保障、临床使用等方面的合理需求，并同步纳入医保支付的机制。</w:t>
      </w:r>
    </w:p>
    <w:p>
      <w:pPr>
        <w:pageBreakBefore w:val="0"/>
        <w:widowControl/>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二、双通道药品支付</w:t>
      </w:r>
    </w:p>
    <w:p>
      <w:pPr>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000000"/>
          <w:kern w:val="0"/>
          <w:sz w:val="28"/>
          <w:szCs w:val="28"/>
        </w:rPr>
        <w:t>国家医保局将定点零售药店纳入了谈判药品供应保障范围，参保患者可在定点医疗机构、定点零售药店两个通道，即我们说的“双通道”，享受协议期内的全部国家医保谈判药品的医保报销。对纳入“双通道”管理的药品，在定点医疗机构和定点零售药店施行统一的支付政策，报销待遇是一样的</w:t>
      </w:r>
      <w:r>
        <w:rPr>
          <w:rFonts w:hint="eastAsia" w:asciiTheme="minorEastAsia" w:hAnsiTheme="minorEastAsia" w:eastAsiaTheme="minorEastAsia" w:cstheme="minorEastAsia"/>
          <w:color w:val="000000"/>
          <w:kern w:val="0"/>
          <w:sz w:val="28"/>
          <w:szCs w:val="28"/>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三、双通道药店名单和药品目录</w:t>
      </w:r>
    </w:p>
    <w:p>
      <w:pPr>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000000"/>
          <w:kern w:val="0"/>
          <w:sz w:val="28"/>
          <w:szCs w:val="28"/>
        </w:rPr>
        <w:t xml:space="preserve">登录“滨州市医疗保障局”官网或“滨州医保”微信公众号中“双通道查询”栏目，即可查询 </w:t>
      </w:r>
      <w:r>
        <w:rPr>
          <w:rFonts w:hint="eastAsia" w:asciiTheme="minorEastAsia" w:hAnsiTheme="minorEastAsia" w:eastAsiaTheme="minorEastAsia" w:cstheme="minorEastAsia"/>
          <w:color w:val="000000"/>
          <w:kern w:val="0"/>
          <w:sz w:val="28"/>
          <w:szCs w:val="28"/>
          <w:lang w:eastAsia="zh-CN"/>
        </w:rPr>
        <w:t>。</w:t>
      </w:r>
    </w:p>
    <w:p>
      <w:pPr>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p>
    <w:p>
      <w:pPr>
        <w:pStyle w:val="2"/>
        <w:pageBreakBefore w:val="0"/>
        <w:kinsoku/>
        <w:wordWrap/>
        <w:overflowPunct/>
        <w:topLinePunct w:val="0"/>
        <w:autoSpaceDE/>
        <w:autoSpaceDN/>
        <w:bidi w:val="0"/>
        <w:adjustRightInd/>
        <w:snapToGrid/>
        <w:spacing w:before="0" w:after="0" w:line="36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82" w:name="_Toc8294"/>
      <w:bookmarkStart w:id="83" w:name="_Toc17161"/>
      <w:bookmarkStart w:id="84" w:name="_Toc19069"/>
      <w:bookmarkStart w:id="85" w:name="_Toc7457"/>
      <w:r>
        <w:rPr>
          <w:rFonts w:hint="eastAsia" w:asciiTheme="majorEastAsia" w:hAnsiTheme="majorEastAsia" w:eastAsiaTheme="majorEastAsia" w:cstheme="majorEastAsia"/>
          <w:sz w:val="44"/>
          <w:szCs w:val="44"/>
          <w:lang w:val="en-US" w:eastAsia="zh-CN"/>
        </w:rPr>
        <w:t>第七章 扶贫人员</w:t>
      </w:r>
      <w:bookmarkEnd w:id="82"/>
      <w:bookmarkEnd w:id="83"/>
      <w:r>
        <w:rPr>
          <w:rFonts w:hint="eastAsia" w:asciiTheme="majorEastAsia" w:hAnsiTheme="majorEastAsia" w:eastAsiaTheme="majorEastAsia" w:cstheme="majorEastAsia"/>
          <w:sz w:val="44"/>
          <w:szCs w:val="44"/>
          <w:lang w:val="en-US" w:eastAsia="zh-CN"/>
        </w:rPr>
        <w:t>政策</w:t>
      </w:r>
      <w:bookmarkEnd w:id="84"/>
      <w:bookmarkEnd w:id="85"/>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一、住院政策</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扶贫人员享受“先诊疗后付费”政策。</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二、政策调整</w:t>
      </w:r>
    </w:p>
    <w:p>
      <w:pPr>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取消医疗机构门诊费用“两免两减半”、住院费用按比例减免和免费健康查体等政策措施。全市不再实施扶贫特惠保险。</w:t>
      </w:r>
    </w:p>
    <w:p>
      <w:pPr>
        <w:pStyle w:val="2"/>
        <w:pageBreakBefore w:val="0"/>
        <w:kinsoku/>
        <w:wordWrap/>
        <w:overflowPunct/>
        <w:topLinePunct w:val="0"/>
        <w:autoSpaceDE/>
        <w:autoSpaceDN/>
        <w:bidi w:val="0"/>
        <w:adjustRightInd/>
        <w:snapToGrid/>
        <w:spacing w:before="0" w:after="0" w:line="360" w:lineRule="auto"/>
        <w:jc w:val="center"/>
        <w:textAlignment w:val="auto"/>
        <w:outlineLvl w:val="9"/>
        <w:rPr>
          <w:rFonts w:hint="eastAsia" w:asciiTheme="majorEastAsia" w:hAnsiTheme="majorEastAsia" w:eastAsiaTheme="majorEastAsia" w:cstheme="majorEastAsia"/>
          <w:sz w:val="44"/>
          <w:szCs w:val="44"/>
          <w:lang w:val="en-US" w:eastAsia="zh-CN"/>
        </w:rPr>
      </w:pPr>
    </w:p>
    <w:p>
      <w:pPr>
        <w:pStyle w:val="2"/>
        <w:pageBreakBefore w:val="0"/>
        <w:kinsoku/>
        <w:wordWrap/>
        <w:overflowPunct/>
        <w:topLinePunct w:val="0"/>
        <w:autoSpaceDE/>
        <w:autoSpaceDN/>
        <w:bidi w:val="0"/>
        <w:adjustRightInd/>
        <w:snapToGrid/>
        <w:spacing w:before="0" w:after="0" w:line="36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86" w:name="_Toc30614"/>
      <w:bookmarkStart w:id="87" w:name="_Toc13634"/>
      <w:bookmarkStart w:id="88" w:name="_Toc28551"/>
      <w:bookmarkStart w:id="89" w:name="_Toc22430"/>
      <w:r>
        <w:rPr>
          <w:rFonts w:hint="eastAsia" w:asciiTheme="majorEastAsia" w:hAnsiTheme="majorEastAsia" w:eastAsiaTheme="majorEastAsia" w:cstheme="majorEastAsia"/>
          <w:sz w:val="44"/>
          <w:szCs w:val="44"/>
          <w:lang w:val="en-US" w:eastAsia="zh-CN"/>
        </w:rPr>
        <w:t>第八章 工会、医惠保</w:t>
      </w:r>
      <w:bookmarkEnd w:id="86"/>
      <w:bookmarkEnd w:id="87"/>
      <w:r>
        <w:rPr>
          <w:rFonts w:hint="eastAsia" w:asciiTheme="majorEastAsia" w:hAnsiTheme="majorEastAsia" w:eastAsiaTheme="majorEastAsia" w:cstheme="majorEastAsia"/>
          <w:sz w:val="44"/>
          <w:szCs w:val="44"/>
          <w:lang w:val="en-US" w:eastAsia="zh-CN"/>
        </w:rPr>
        <w:t>政策</w:t>
      </w:r>
      <w:bookmarkEnd w:id="88"/>
      <w:bookmarkEnd w:id="89"/>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一、工会报销政策说明</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一</w:t>
      </w:r>
      <w:r>
        <w:rPr>
          <w:rFonts w:hint="eastAsia" w:asciiTheme="minorEastAsia" w:hAnsiTheme="minorEastAsia" w:eastAsiaTheme="minorEastAsia" w:cstheme="minorEastAsia"/>
          <w:color w:val="000000"/>
          <w:kern w:val="0"/>
          <w:sz w:val="28"/>
          <w:szCs w:val="28"/>
        </w:rPr>
        <w:t>）工会报销范围为参加工会互助保险的参保职工，在本地联网定点医疗机构开通一单式结算。省内和跨省异地联网结算的职工仍需要到工会二次报销。</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二</w:t>
      </w:r>
      <w:r>
        <w:rPr>
          <w:rFonts w:hint="eastAsia" w:asciiTheme="minorEastAsia" w:hAnsiTheme="minorEastAsia" w:eastAsiaTheme="minorEastAsia" w:cstheme="minorEastAsia"/>
          <w:color w:val="000000"/>
          <w:kern w:val="0"/>
          <w:sz w:val="28"/>
          <w:szCs w:val="28"/>
        </w:rPr>
        <w:t>）职工住院 （每年度前两次住院报销）</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计算方法：（纳入统筹金额-起付线-所有统筹内报销支付金额（不包括医疗减免金额））×70%</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三</w:t>
      </w:r>
      <w:r>
        <w:rPr>
          <w:rFonts w:hint="eastAsia" w:asciiTheme="minorEastAsia" w:hAnsiTheme="minorEastAsia" w:eastAsiaTheme="minorEastAsia" w:cstheme="minorEastAsia"/>
          <w:color w:val="000000"/>
          <w:kern w:val="0"/>
          <w:sz w:val="28"/>
          <w:szCs w:val="28"/>
        </w:rPr>
        <w:t>）职工住院大额（第一次住院存在进入大额的费用，年封顶5000元）</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计算方法：（纳入统筹金额-起付线-所有统筹内报销支付金额（不包括医疗机构减免金额，包含上述职工互助保险报销））×60%</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四</w:t>
      </w:r>
      <w:r>
        <w:rPr>
          <w:rFonts w:hint="eastAsia" w:asciiTheme="minorEastAsia" w:hAnsiTheme="minorEastAsia" w:eastAsiaTheme="minorEastAsia" w:cstheme="minorEastAsia"/>
          <w:color w:val="000000"/>
          <w:kern w:val="0"/>
          <w:sz w:val="28"/>
          <w:szCs w:val="28"/>
        </w:rPr>
        <w:t>）职工门诊慢病（每次都报销）</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计算方法：（纳入统筹金额-起付线-所有统筹内报销支付金额（不包括医疗减免金额））×50%</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二、医惠保报销政策说明</w:t>
      </w:r>
    </w:p>
    <w:p>
      <w:pPr>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一）</w:t>
      </w:r>
      <w:r>
        <w:rPr>
          <w:rFonts w:hint="eastAsia" w:asciiTheme="minorEastAsia" w:hAnsiTheme="minorEastAsia" w:eastAsiaTheme="minorEastAsia" w:cstheme="minorEastAsia"/>
          <w:color w:val="000000"/>
          <w:kern w:val="0"/>
          <w:sz w:val="28"/>
          <w:szCs w:val="28"/>
        </w:rPr>
        <w:t>滨州医惠保目录内费用与目录外费用起付线均为</w:t>
      </w:r>
      <w:r>
        <w:rPr>
          <w:rFonts w:hint="eastAsia" w:asciiTheme="minorEastAsia" w:hAnsiTheme="minorEastAsia" w:eastAsiaTheme="minorEastAsia" w:cstheme="minorEastAsia"/>
          <w:color w:val="000000"/>
          <w:kern w:val="0"/>
          <w:sz w:val="28"/>
          <w:szCs w:val="28"/>
          <w:lang w:val="en-US" w:eastAsia="zh-CN"/>
        </w:rPr>
        <w:t>1.8</w:t>
      </w:r>
      <w:r>
        <w:rPr>
          <w:rFonts w:hint="eastAsia" w:asciiTheme="minorEastAsia" w:hAnsiTheme="minorEastAsia" w:eastAsiaTheme="minorEastAsia" w:cstheme="minorEastAsia"/>
          <w:color w:val="000000"/>
          <w:kern w:val="0"/>
          <w:sz w:val="28"/>
          <w:szCs w:val="28"/>
        </w:rPr>
        <w:t>万。</w:t>
      </w:r>
    </w:p>
    <w:p>
      <w:pPr>
        <w:pageBreakBefore w:val="0"/>
        <w:widowControl/>
        <w:numPr>
          <w:ilvl w:val="0"/>
          <w:numId w:val="43"/>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本次目录内报销费用=本次目录内纳入＊0.</w:t>
      </w:r>
      <w:r>
        <w:rPr>
          <w:rFonts w:hint="eastAsia" w:asciiTheme="minorEastAsia" w:hAnsiTheme="minorEastAsia" w:eastAsiaTheme="minorEastAsia" w:cstheme="minorEastAsia"/>
          <w:color w:val="000000"/>
          <w:kern w:val="0"/>
          <w:sz w:val="28"/>
          <w:szCs w:val="28"/>
          <w:lang w:val="en-US" w:eastAsia="zh-CN"/>
        </w:rPr>
        <w:t>6</w:t>
      </w:r>
      <w:r>
        <w:rPr>
          <w:rFonts w:hint="eastAsia" w:asciiTheme="minorEastAsia" w:hAnsiTheme="minorEastAsia" w:eastAsiaTheme="minorEastAsia" w:cstheme="minorEastAsia"/>
          <w:color w:val="000000"/>
          <w:kern w:val="0"/>
          <w:sz w:val="28"/>
          <w:szCs w:val="28"/>
        </w:rPr>
        <w:t>（20万以内）。</w:t>
      </w:r>
    </w:p>
    <w:p>
      <w:pPr>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三</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本次目录内报销费用=本次目录录内纳入＊0.8（20万以上）。</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四</w:t>
      </w:r>
      <w:r>
        <w:rPr>
          <w:rFonts w:hint="eastAsia" w:asciiTheme="minorEastAsia" w:hAnsiTheme="minorEastAsia" w:eastAsiaTheme="minorEastAsia" w:cstheme="minorEastAsia"/>
          <w:color w:val="000000"/>
          <w:kern w:val="0"/>
          <w:sz w:val="28"/>
          <w:szCs w:val="28"/>
        </w:rPr>
        <w:t>）本次目录外报销费用=本次目录外纳入＊0.</w:t>
      </w:r>
      <w:r>
        <w:rPr>
          <w:rFonts w:hint="eastAsia" w:asciiTheme="minorEastAsia" w:hAnsiTheme="minorEastAsia" w:eastAsiaTheme="minorEastAsia" w:cstheme="minorEastAsia"/>
          <w:color w:val="000000"/>
          <w:kern w:val="0"/>
          <w:sz w:val="28"/>
          <w:szCs w:val="28"/>
          <w:lang w:val="en-US" w:eastAsia="zh-CN"/>
        </w:rPr>
        <w:t>4（20万以内）</w:t>
      </w:r>
      <w:r>
        <w:rPr>
          <w:rFonts w:hint="eastAsia" w:asciiTheme="minorEastAsia" w:hAnsiTheme="minorEastAsia" w:eastAsiaTheme="minorEastAsia" w:cstheme="minorEastAsia"/>
          <w:color w:val="000000"/>
          <w:kern w:val="0"/>
          <w:sz w:val="28"/>
          <w:szCs w:val="28"/>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val="en-US" w:eastAsia="zh-CN"/>
        </w:rPr>
        <w:t>（五）</w:t>
      </w:r>
      <w:r>
        <w:rPr>
          <w:rFonts w:hint="eastAsia" w:asciiTheme="minorEastAsia" w:hAnsiTheme="minorEastAsia" w:eastAsiaTheme="minorEastAsia" w:cstheme="minorEastAsia"/>
          <w:color w:val="000000"/>
          <w:kern w:val="0"/>
          <w:sz w:val="28"/>
          <w:szCs w:val="28"/>
        </w:rPr>
        <w:t>本次目录外报销费用=本次目录外纳入＊0.</w:t>
      </w:r>
      <w:r>
        <w:rPr>
          <w:rFonts w:hint="eastAsia" w:asciiTheme="minorEastAsia" w:hAnsiTheme="minorEastAsia" w:eastAsiaTheme="minorEastAsia" w:cstheme="minorEastAsia"/>
          <w:color w:val="000000"/>
          <w:kern w:val="0"/>
          <w:sz w:val="28"/>
          <w:szCs w:val="28"/>
          <w:lang w:val="en-US" w:eastAsia="zh-CN"/>
        </w:rPr>
        <w:t>6（20万以上）</w:t>
      </w:r>
      <w:r>
        <w:rPr>
          <w:rFonts w:hint="eastAsia" w:asciiTheme="minorEastAsia" w:hAnsiTheme="minorEastAsia" w:eastAsiaTheme="minorEastAsia" w:cstheme="minorEastAsia"/>
          <w:color w:val="000000"/>
          <w:kern w:val="0"/>
          <w:sz w:val="28"/>
          <w:szCs w:val="28"/>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六</w:t>
      </w:r>
      <w:r>
        <w:rPr>
          <w:rFonts w:hint="eastAsia" w:asciiTheme="minorEastAsia" w:hAnsiTheme="minorEastAsia" w:eastAsiaTheme="minorEastAsia" w:cstheme="minorEastAsia"/>
          <w:color w:val="000000"/>
          <w:kern w:val="0"/>
          <w:sz w:val="28"/>
          <w:szCs w:val="28"/>
        </w:rPr>
        <w:t>）本次实际报销费用=本次目录内报销费用+本次目录外报销费用。</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七</w:t>
      </w:r>
      <w:r>
        <w:rPr>
          <w:rFonts w:hint="eastAsia" w:asciiTheme="minorEastAsia" w:hAnsiTheme="minorEastAsia" w:eastAsiaTheme="minorEastAsia" w:cstheme="minorEastAsia"/>
          <w:color w:val="000000"/>
          <w:kern w:val="0"/>
          <w:sz w:val="28"/>
          <w:szCs w:val="28"/>
        </w:rPr>
        <w:t>）目录内报销费用每年不超过限额100万，目录外报销费</w:t>
      </w:r>
      <w:r>
        <w:rPr>
          <w:rFonts w:hint="eastAsia" w:asciiTheme="minorEastAsia" w:hAnsiTheme="minorEastAsia" w:eastAsiaTheme="minorEastAsia" w:cstheme="minorEastAsia"/>
          <w:color w:val="000000"/>
          <w:kern w:val="0"/>
          <w:sz w:val="28"/>
          <w:szCs w:val="28"/>
          <w:lang w:val="en-US" w:eastAsia="zh-CN"/>
        </w:rPr>
        <w:t>用每年不超过限额50万</w:t>
      </w:r>
      <w:r>
        <w:rPr>
          <w:rFonts w:hint="eastAsia" w:asciiTheme="minorEastAsia" w:hAnsiTheme="minorEastAsia" w:eastAsiaTheme="minorEastAsia" w:cstheme="minorEastAsia"/>
          <w:color w:val="000000"/>
          <w:kern w:val="0"/>
          <w:sz w:val="28"/>
          <w:szCs w:val="28"/>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八</w:t>
      </w:r>
      <w:r>
        <w:rPr>
          <w:rFonts w:hint="eastAsia" w:asciiTheme="minorEastAsia" w:hAnsiTheme="minorEastAsia" w:eastAsiaTheme="minorEastAsia" w:cstheme="minorEastAsia"/>
          <w:color w:val="000000"/>
          <w:kern w:val="0"/>
          <w:sz w:val="28"/>
          <w:szCs w:val="28"/>
        </w:rPr>
        <w:t>）续保人员分段报销比例各提高3</w:t>
      </w:r>
      <w:r>
        <w:rPr>
          <w:rFonts w:hint="eastAsia" w:asciiTheme="minorEastAsia" w:hAnsiTheme="minorEastAsia" w:eastAsiaTheme="minorEastAsia" w:cstheme="minorEastAsia"/>
          <w:color w:val="000000"/>
          <w:kern w:val="0"/>
          <w:sz w:val="28"/>
          <w:szCs w:val="28"/>
          <w:lang w:val="en-US" w:eastAsia="zh-CN"/>
        </w:rPr>
        <w:t>%</w:t>
      </w:r>
      <w:r>
        <w:rPr>
          <w:rFonts w:hint="eastAsia" w:asciiTheme="minorEastAsia" w:hAnsiTheme="minorEastAsia" w:eastAsiaTheme="minorEastAsia" w:cstheme="minorEastAsia"/>
          <w:color w:val="000000"/>
          <w:kern w:val="0"/>
          <w:sz w:val="28"/>
          <w:szCs w:val="28"/>
        </w:rPr>
        <w:t>。</w:t>
      </w:r>
    </w:p>
    <w:p>
      <w:pPr>
        <w:pStyle w:val="2"/>
        <w:pageBreakBefore w:val="0"/>
        <w:kinsoku/>
        <w:wordWrap/>
        <w:overflowPunct/>
        <w:topLinePunct w:val="0"/>
        <w:autoSpaceDE/>
        <w:autoSpaceDN/>
        <w:bidi w:val="0"/>
        <w:adjustRightInd/>
        <w:snapToGrid/>
        <w:spacing w:before="0" w:after="0" w:line="360" w:lineRule="auto"/>
        <w:jc w:val="center"/>
        <w:textAlignment w:val="auto"/>
        <w:outlineLvl w:val="9"/>
        <w:rPr>
          <w:rFonts w:hint="eastAsia" w:asciiTheme="minorEastAsia" w:hAnsiTheme="minorEastAsia" w:eastAsiaTheme="minorEastAsia" w:cstheme="minorEastAsia"/>
          <w:sz w:val="28"/>
          <w:szCs w:val="28"/>
          <w:lang w:val="en-US" w:eastAsia="zh-CN"/>
        </w:rPr>
      </w:pPr>
      <w:bookmarkStart w:id="90" w:name="_Toc24514"/>
      <w:bookmarkStart w:id="91" w:name="_Toc10911"/>
    </w:p>
    <w:p>
      <w:pPr>
        <w:pStyle w:val="2"/>
        <w:pageBreakBefore w:val="0"/>
        <w:kinsoku/>
        <w:wordWrap/>
        <w:overflowPunct/>
        <w:topLinePunct w:val="0"/>
        <w:autoSpaceDE/>
        <w:autoSpaceDN/>
        <w:bidi w:val="0"/>
        <w:adjustRightInd/>
        <w:snapToGrid/>
        <w:spacing w:before="0" w:after="0" w:line="36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92" w:name="_Toc3915"/>
      <w:bookmarkStart w:id="93" w:name="_Toc6110"/>
      <w:r>
        <w:rPr>
          <w:rFonts w:hint="eastAsia" w:asciiTheme="majorEastAsia" w:hAnsiTheme="majorEastAsia" w:eastAsiaTheme="majorEastAsia" w:cstheme="majorEastAsia"/>
          <w:sz w:val="44"/>
          <w:szCs w:val="44"/>
          <w:lang w:val="en-US" w:eastAsia="zh-CN"/>
        </w:rPr>
        <w:t>第九章 工伤保险</w:t>
      </w:r>
      <w:bookmarkEnd w:id="90"/>
      <w:bookmarkEnd w:id="91"/>
      <w:r>
        <w:rPr>
          <w:rFonts w:hint="eastAsia" w:asciiTheme="majorEastAsia" w:hAnsiTheme="majorEastAsia" w:eastAsiaTheme="majorEastAsia" w:cstheme="majorEastAsia"/>
          <w:sz w:val="44"/>
          <w:szCs w:val="44"/>
          <w:lang w:val="en-US" w:eastAsia="zh-CN"/>
        </w:rPr>
        <w:t>政策</w:t>
      </w:r>
      <w:bookmarkEnd w:id="92"/>
      <w:bookmarkEnd w:id="93"/>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一、工伤定义</w:t>
      </w:r>
    </w:p>
    <w:p>
      <w:pPr>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工伤，也称职业伤害，指劳动者从事职业活动或者与职业责任有关的活动时所遭受到的事故伤害和职业病伤害。</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二、出院联网结算</w:t>
      </w:r>
    </w:p>
    <w:p>
      <w:pPr>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出院时已出认定结论，被认定为工伤的，经办机构确认后，发生的符合“三个目录”的住院治疗费用，由协议医疗机构记账后次月与经办机构结算，属个人负担的费用，由协议医疗机构与用人单位或工伤职工结算；未认定为工伤的，由用人单位或工伤职工与医院全额结算。因住院时间较短，出院时还没有出认定结论的，由用人单位或工伤职工与医院全额结算，待出认定结论后，再到医院报销工伤保险符合“三个目录”的住院治疗费用。</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三、注意问题</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一</w:t>
      </w:r>
      <w:r>
        <w:rPr>
          <w:rFonts w:hint="eastAsia" w:asciiTheme="minorEastAsia" w:hAnsiTheme="minorEastAsia" w:eastAsiaTheme="minorEastAsia" w:cstheme="minorEastAsia"/>
          <w:color w:val="000000"/>
          <w:kern w:val="0"/>
          <w:sz w:val="28"/>
          <w:szCs w:val="28"/>
        </w:rPr>
        <w:t>）工伤患者第一次住院需持工伤认定书，后续治疗除工伤认定书外还需提供工伤后续治疗申请表（表上先工伤经办机构盖章，再单位盖章，最后医保办盖章</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 xml:space="preserve">出院时与电子发票、结算单一起整理留存。 </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二</w:t>
      </w:r>
      <w:r>
        <w:rPr>
          <w:rFonts w:hint="eastAsia" w:asciiTheme="minorEastAsia" w:hAnsiTheme="minorEastAsia" w:eastAsiaTheme="minorEastAsia" w:cstheme="minorEastAsia"/>
          <w:color w:val="000000"/>
          <w:kern w:val="0"/>
          <w:sz w:val="28"/>
          <w:szCs w:val="28"/>
        </w:rPr>
        <w:t xml:space="preserve">）出院时审核患者工伤认定书所填受伤部位，工伤保险只报销工伤认定书中与受伤部位相关治疗，其他部位治疗不在报销范围，如有疑问可联系主治医师。 </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kern w:val="0"/>
          <w:sz w:val="28"/>
          <w:szCs w:val="28"/>
        </w:rPr>
      </w:pP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kern w:val="0"/>
          <w:sz w:val="28"/>
          <w:szCs w:val="28"/>
          <w:lang w:val="en-US" w:eastAsia="zh-CN"/>
        </w:rPr>
        <w:t>三</w:t>
      </w:r>
      <w:r>
        <w:rPr>
          <w:rFonts w:hint="eastAsia" w:asciiTheme="minorEastAsia" w:hAnsiTheme="minorEastAsia" w:eastAsiaTheme="minorEastAsia" w:cstheme="minorEastAsia"/>
          <w:color w:val="000000"/>
          <w:kern w:val="0"/>
          <w:sz w:val="28"/>
          <w:szCs w:val="28"/>
        </w:rPr>
        <w:t>）在医院进行工伤联网报销的应先在当地人社局盖章，后医保办盖章；退休、车祸、建筑行业这三类职工工伤患者，不在医院进行联网报销，可先在医保办盖章。</w:t>
      </w:r>
    </w:p>
    <w:p>
      <w:pPr>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四）</w:t>
      </w:r>
      <w:r>
        <w:rPr>
          <w:rFonts w:hint="eastAsia" w:asciiTheme="minorEastAsia" w:hAnsiTheme="minorEastAsia" w:eastAsiaTheme="minorEastAsia" w:cstheme="minorEastAsia"/>
          <w:color w:val="000000"/>
          <w:kern w:val="0"/>
          <w:sz w:val="28"/>
          <w:szCs w:val="28"/>
        </w:rPr>
        <w:t>工伤职工联网结算流程图</w:t>
      </w:r>
    </w:p>
    <w:p>
      <w:pPr>
        <w:pageBreakBefore w:val="0"/>
        <w:kinsoku/>
        <w:wordWrap/>
        <w:overflowPunct/>
        <w:topLinePunct w:val="0"/>
        <w:autoSpaceDE/>
        <w:autoSpaceDN/>
        <w:bidi w:val="0"/>
        <w:adjustRightInd/>
        <w:snapToGrid/>
        <w:spacing w:line="360" w:lineRule="auto"/>
        <w:textAlignment w:val="auto"/>
      </w:pPr>
      <w:r>
        <w:rPr>
          <w:rFonts w:hint="eastAsia" w:ascii="仿宋" w:hAnsi="仿宋" w:eastAsia="仿宋" w:cs="仿宋"/>
          <w:b/>
          <w:color w:val="000000"/>
          <w:kern w:val="0"/>
          <w:sz w:val="31"/>
          <w:szCs w:val="31"/>
          <w:lang w:val="en-US" w:eastAsia="zh-CN" w:bidi="ar-SA"/>
        </w:rPr>
        <w:pict>
          <v:shape id="_x0000_i1026" o:spt="75" type="#_x0000_t75" style="height:560.2pt;width:469.45pt;" filled="f" o:preferrelative="t" stroked="f" coordsize="21600,21600">
            <v:path/>
            <v:fill on="f" focussize="0,0"/>
            <v:stroke on="f"/>
            <v:imagedata r:id="rId19" blacklevel="0f" o:title=""/>
            <o:lock v:ext="edit" aspectratio="t"/>
            <w10:wrap type="none"/>
            <w10:anchorlock/>
          </v:shape>
        </w:pict>
      </w:r>
    </w:p>
    <w:p>
      <w:pPr>
        <w:pageBreakBefore w:val="0"/>
        <w:kinsoku/>
        <w:wordWrap/>
        <w:overflowPunct/>
        <w:topLinePunct w:val="0"/>
        <w:autoSpaceDE/>
        <w:autoSpaceDN/>
        <w:bidi w:val="0"/>
        <w:adjustRightInd/>
        <w:snapToGrid/>
        <w:spacing w:line="360" w:lineRule="auto"/>
        <w:textAlignment w:val="auto"/>
      </w:pPr>
    </w:p>
    <w:p>
      <w:pPr>
        <w:pStyle w:val="2"/>
        <w:pageBreakBefore w:val="0"/>
        <w:kinsoku/>
        <w:wordWrap/>
        <w:overflowPunct/>
        <w:topLinePunct w:val="0"/>
        <w:autoSpaceDE/>
        <w:autoSpaceDN/>
        <w:bidi w:val="0"/>
        <w:adjustRightInd/>
        <w:snapToGrid/>
        <w:spacing w:before="0" w:after="0" w:line="36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94" w:name="_Toc30427"/>
      <w:bookmarkStart w:id="95" w:name="_Toc16633"/>
      <w:bookmarkStart w:id="96" w:name="_Toc32329"/>
      <w:bookmarkStart w:id="97" w:name="_Toc32616"/>
      <w:r>
        <w:rPr>
          <w:rFonts w:hint="eastAsia" w:asciiTheme="majorEastAsia" w:hAnsiTheme="majorEastAsia" w:eastAsiaTheme="majorEastAsia" w:cstheme="majorEastAsia"/>
          <w:sz w:val="44"/>
          <w:szCs w:val="44"/>
          <w:lang w:val="en-US" w:eastAsia="zh-CN"/>
        </w:rPr>
        <w:t>第十章 意外伤害</w:t>
      </w:r>
      <w:bookmarkEnd w:id="94"/>
      <w:bookmarkEnd w:id="95"/>
      <w:r>
        <w:rPr>
          <w:rFonts w:hint="eastAsia" w:asciiTheme="majorEastAsia" w:hAnsiTheme="majorEastAsia" w:eastAsiaTheme="majorEastAsia" w:cstheme="majorEastAsia"/>
          <w:sz w:val="44"/>
          <w:szCs w:val="44"/>
          <w:lang w:val="en-US" w:eastAsia="zh-CN"/>
        </w:rPr>
        <w:t>政策</w:t>
      </w:r>
      <w:bookmarkEnd w:id="96"/>
      <w:bookmarkEnd w:id="97"/>
    </w:p>
    <w:p>
      <w:pPr>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rPr>
      </w:pPr>
      <w:r>
        <w:rPr>
          <w:rFonts w:hint="eastAsia" w:asciiTheme="minorEastAsia" w:hAnsiTheme="minorEastAsia" w:eastAsiaTheme="minorEastAsia" w:cstheme="minorEastAsia"/>
          <w:b/>
          <w:color w:val="000000"/>
          <w:kern w:val="0"/>
          <w:sz w:val="36"/>
          <w:szCs w:val="36"/>
          <w:lang w:val="en-US" w:eastAsia="zh-CN"/>
        </w:rPr>
        <w:t>一、</w:t>
      </w:r>
      <w:r>
        <w:rPr>
          <w:rFonts w:hint="eastAsia" w:asciiTheme="minorEastAsia" w:hAnsiTheme="minorEastAsia" w:eastAsiaTheme="minorEastAsia" w:cstheme="minorEastAsia"/>
          <w:b/>
          <w:color w:val="000000"/>
          <w:kern w:val="0"/>
          <w:sz w:val="36"/>
          <w:szCs w:val="36"/>
        </w:rPr>
        <w:t>有第三方责任人</w:t>
      </w:r>
    </w:p>
    <w:p>
      <w:pPr>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有第三方责任人的意外伤害，在医院自费结算。</w:t>
      </w:r>
    </w:p>
    <w:p>
      <w:pPr>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rPr>
      </w:pPr>
      <w:r>
        <w:rPr>
          <w:rFonts w:hint="eastAsia" w:asciiTheme="minorEastAsia" w:hAnsiTheme="minorEastAsia" w:eastAsiaTheme="minorEastAsia" w:cstheme="minorEastAsia"/>
          <w:b/>
          <w:color w:val="000000"/>
          <w:kern w:val="0"/>
          <w:sz w:val="36"/>
          <w:szCs w:val="36"/>
          <w:lang w:val="en-US" w:eastAsia="zh-CN"/>
        </w:rPr>
        <w:t>二、</w:t>
      </w:r>
      <w:r>
        <w:rPr>
          <w:rFonts w:hint="eastAsia" w:asciiTheme="minorEastAsia" w:hAnsiTheme="minorEastAsia" w:eastAsiaTheme="minorEastAsia" w:cstheme="minorEastAsia"/>
          <w:b/>
          <w:color w:val="000000"/>
          <w:kern w:val="0"/>
          <w:sz w:val="36"/>
          <w:szCs w:val="36"/>
        </w:rPr>
        <w:t>无第三方责任人</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
          <w:color w:val="000000"/>
          <w:kern w:val="0"/>
          <w:sz w:val="28"/>
          <w:szCs w:val="28"/>
        </w:rPr>
      </w:pPr>
      <w:r>
        <w:rPr>
          <w:rFonts w:hint="eastAsia" w:asciiTheme="minorEastAsia" w:hAnsiTheme="minorEastAsia" w:eastAsiaTheme="minorEastAsia" w:cstheme="minorEastAsia"/>
          <w:color w:val="000000"/>
          <w:kern w:val="0"/>
          <w:sz w:val="28"/>
          <w:szCs w:val="28"/>
        </w:rPr>
        <w:t>医生发放《滨州市基本医疗保险意外伤害备案表》（仅限滨州参保人），24小时内填写无误后交住院处进行医保联网，等待保险公司审核确认。审核通过的，直接进行医保报销结算；审核拒付的，在医院自费结算。</w:t>
      </w:r>
    </w:p>
    <w:p>
      <w:pPr>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三、入院、出院诊断填写</w:t>
      </w:r>
    </w:p>
    <w:p>
      <w:pPr>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意外伤害入院、出院诊断都要填写诊断编码“X59.900*096意外事故”。</w:t>
      </w:r>
    </w:p>
    <w:p>
      <w:pPr>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28"/>
          <w:szCs w:val="28"/>
        </w:rPr>
      </w:pPr>
    </w:p>
    <w:p>
      <w:pPr>
        <w:pStyle w:val="2"/>
        <w:spacing w:before="0" w:after="0" w:line="240" w:lineRule="auto"/>
        <w:jc w:val="center"/>
        <w:outlineLvl w:val="1"/>
        <w:rPr>
          <w:rFonts w:hint="eastAsia" w:asciiTheme="majorEastAsia" w:hAnsiTheme="majorEastAsia" w:eastAsiaTheme="majorEastAsia" w:cstheme="majorEastAsia"/>
          <w:sz w:val="44"/>
          <w:szCs w:val="44"/>
          <w:lang w:val="en-US" w:eastAsia="zh-CN"/>
        </w:rPr>
      </w:pPr>
      <w:bookmarkStart w:id="98" w:name="_Toc10651"/>
      <w:bookmarkStart w:id="99" w:name="_Toc5537"/>
      <w:bookmarkStart w:id="100" w:name="_Toc7131"/>
      <w:bookmarkStart w:id="101" w:name="_Toc26447"/>
      <w:r>
        <w:rPr>
          <w:rFonts w:hint="eastAsia" w:asciiTheme="majorEastAsia" w:hAnsiTheme="majorEastAsia" w:eastAsiaTheme="majorEastAsia" w:cstheme="majorEastAsia"/>
          <w:sz w:val="44"/>
          <w:szCs w:val="44"/>
          <w:lang w:val="en-US" w:eastAsia="zh-CN"/>
        </w:rPr>
        <w:t>第十一章 血制品报销政策</w:t>
      </w:r>
      <w:bookmarkEnd w:id="98"/>
      <w:bookmarkEnd w:id="99"/>
      <w:bookmarkEnd w:id="100"/>
      <w:bookmarkEnd w:id="101"/>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一、医保血费报销政策</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kern w:val="0"/>
          <w:sz w:val="28"/>
          <w:szCs w:val="28"/>
          <w:lang w:eastAsia="zh-CN"/>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一）</w:t>
      </w:r>
      <w:r>
        <w:rPr>
          <w:rFonts w:hint="eastAsia" w:asciiTheme="minorEastAsia" w:hAnsiTheme="minorEastAsia" w:eastAsiaTheme="minorEastAsia" w:cstheme="minorEastAsia"/>
          <w:color w:val="000000"/>
          <w:kern w:val="0"/>
          <w:sz w:val="28"/>
          <w:szCs w:val="28"/>
        </w:rPr>
        <w:t>红细胞：慢性贫血并伴有缺氧症状，①血红蛋白＜60g/L,或者②红细胞压积＜0.2</w:t>
      </w:r>
      <w:r>
        <w:rPr>
          <w:rFonts w:hint="eastAsia" w:asciiTheme="minorEastAsia" w:hAnsiTheme="minorEastAsia" w:eastAsiaTheme="minorEastAsia" w:cstheme="minorEastAsia"/>
          <w:color w:val="000000"/>
          <w:kern w:val="0"/>
          <w:sz w:val="28"/>
          <w:szCs w:val="28"/>
          <w:lang w:eastAsia="zh-CN"/>
        </w:rPr>
        <w:t>。</w:t>
      </w:r>
    </w:p>
    <w:p>
      <w:pPr>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color w:val="000000"/>
          <w:kern w:val="0"/>
          <w:sz w:val="28"/>
          <w:szCs w:val="28"/>
          <w:lang w:eastAsia="zh-CN"/>
        </w:rPr>
      </w:pPr>
      <w:bookmarkStart w:id="102" w:name="_Toc4297"/>
      <w:bookmarkStart w:id="103" w:name="_Toc9799"/>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二）</w:t>
      </w:r>
      <w:r>
        <w:rPr>
          <w:rFonts w:hint="eastAsia" w:asciiTheme="minorEastAsia" w:hAnsiTheme="minorEastAsia" w:eastAsiaTheme="minorEastAsia" w:cstheme="minorEastAsia"/>
          <w:color w:val="000000"/>
          <w:kern w:val="0"/>
          <w:sz w:val="28"/>
          <w:szCs w:val="28"/>
        </w:rPr>
        <w:t>血小板：临床症状+PC 计数＜50*109/L</w:t>
      </w:r>
      <w:bookmarkEnd w:id="102"/>
      <w:bookmarkEnd w:id="103"/>
      <w:r>
        <w:rPr>
          <w:rFonts w:hint="eastAsia" w:asciiTheme="minorEastAsia" w:hAnsiTheme="minorEastAsia" w:eastAsiaTheme="minorEastAsia" w:cstheme="minorEastAsia"/>
          <w:color w:val="000000"/>
          <w:kern w:val="0"/>
          <w:sz w:val="28"/>
          <w:szCs w:val="28"/>
          <w:lang w:eastAsia="zh-CN"/>
        </w:rPr>
        <w:t>。</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kern w:val="0"/>
          <w:sz w:val="28"/>
          <w:szCs w:val="28"/>
          <w:lang w:eastAsia="zh-CN"/>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三）</w:t>
      </w:r>
      <w:r>
        <w:rPr>
          <w:rFonts w:hint="eastAsia" w:asciiTheme="minorEastAsia" w:hAnsiTheme="minorEastAsia" w:eastAsiaTheme="minorEastAsia" w:cstheme="minorEastAsia"/>
          <w:color w:val="000000"/>
          <w:kern w:val="0"/>
          <w:sz w:val="28"/>
          <w:szCs w:val="28"/>
        </w:rPr>
        <w:t>新鲜冰冻血浆：各种原因（先天性、后天获得性、输入大量陈旧库血等），引起多种凝血因子Ⅰ、Ⅴ、Ⅶ、Ⅺ或者抗凝血酶Ⅲ缺乏，并伴有出血表现时输注（看病史、建议剂量 10-15ml/kg体重）</w:t>
      </w:r>
      <w:r>
        <w:rPr>
          <w:rFonts w:hint="eastAsia" w:asciiTheme="minorEastAsia" w:hAnsiTheme="minorEastAsia" w:eastAsiaTheme="minorEastAsia" w:cstheme="minorEastAsia"/>
          <w:color w:val="000000"/>
          <w:kern w:val="0"/>
          <w:sz w:val="28"/>
          <w:szCs w:val="28"/>
          <w:lang w:eastAsia="zh-CN"/>
        </w:rPr>
        <w:t>。</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kern w:val="0"/>
          <w:sz w:val="28"/>
          <w:szCs w:val="28"/>
          <w:lang w:eastAsia="zh-CN"/>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四）</w:t>
      </w:r>
      <w:r>
        <w:rPr>
          <w:rFonts w:hint="eastAsia" w:asciiTheme="minorEastAsia" w:hAnsiTheme="minorEastAsia" w:eastAsiaTheme="minorEastAsia" w:cstheme="minorEastAsia"/>
          <w:color w:val="000000"/>
          <w:kern w:val="0"/>
          <w:sz w:val="28"/>
          <w:szCs w:val="28"/>
        </w:rPr>
        <w:t>新鲜液体血浆：①严重肝病患者,②多种凝血因子（尤其是Ⅷ因子）</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五）</w:t>
      </w:r>
      <w:r>
        <w:rPr>
          <w:rFonts w:hint="eastAsia" w:asciiTheme="minorEastAsia" w:hAnsiTheme="minorEastAsia" w:eastAsiaTheme="minorEastAsia" w:cstheme="minorEastAsia"/>
          <w:color w:val="000000"/>
          <w:kern w:val="0"/>
          <w:sz w:val="28"/>
          <w:szCs w:val="28"/>
        </w:rPr>
        <w:t>普通冰冻血浆：主要用于补充稳定的凝血因子（看病史，化验凝血因子明显降低）</w:t>
      </w:r>
      <w:r>
        <w:rPr>
          <w:rFonts w:hint="eastAsia" w:asciiTheme="minorEastAsia" w:hAnsiTheme="minorEastAsia" w:eastAsiaTheme="minorEastAsia" w:cstheme="minorEastAsia"/>
          <w:color w:val="000000"/>
          <w:kern w:val="0"/>
          <w:sz w:val="28"/>
          <w:szCs w:val="28"/>
          <w:lang w:eastAsia="zh-CN"/>
        </w:rPr>
        <w:t>。</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六）</w:t>
      </w:r>
      <w:r>
        <w:rPr>
          <w:rFonts w:hint="eastAsia" w:asciiTheme="minorEastAsia" w:hAnsiTheme="minorEastAsia" w:eastAsiaTheme="minorEastAsia" w:cstheme="minorEastAsia"/>
          <w:color w:val="000000"/>
          <w:kern w:val="0"/>
          <w:sz w:val="28"/>
          <w:szCs w:val="28"/>
        </w:rPr>
        <w:t>洗涤红细胞：用于避免引起同种异型白细胞抗体和避免输入血浆中某些成分（如补体、凝集素、蛋白质等），包括对血浆蛋白过敏、自身免疫性溶血性贫血患者，高钾血症及肝肾功能障碍和阵发性睡眠型血红蛋白尿症的患者。</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七）</w:t>
      </w:r>
      <w:r>
        <w:rPr>
          <w:rFonts w:hint="eastAsia" w:asciiTheme="minorEastAsia" w:hAnsiTheme="minorEastAsia" w:eastAsiaTheme="minorEastAsia" w:cstheme="minorEastAsia"/>
          <w:color w:val="000000"/>
          <w:kern w:val="0"/>
          <w:sz w:val="28"/>
          <w:szCs w:val="28"/>
        </w:rPr>
        <w:t>机器单采浓缩白细胞悬液：主要用于粒细胞缺乏（中性粒细胞＜0.5*109/L）、并发细菌感染且抗菌素治疗难以控制者，充分权衡利弊后输注。</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八）</w:t>
      </w:r>
      <w:r>
        <w:rPr>
          <w:rFonts w:hint="eastAsia" w:asciiTheme="minorEastAsia" w:hAnsiTheme="minorEastAsia" w:eastAsiaTheme="minorEastAsia" w:cstheme="minorEastAsia"/>
          <w:color w:val="000000"/>
          <w:kern w:val="0"/>
          <w:sz w:val="28"/>
          <w:szCs w:val="28"/>
        </w:rPr>
        <w:t>冷沉淀：主要用于儿童及成人轻型甲型血友病，血管性血友病（vWD）、纤维蛋白原缺乏症及因子Ⅶ缺乏严重者，严格甲型血友病应加用Ⅶ因子浓缩剂。</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九）</w:t>
      </w:r>
      <w:r>
        <w:rPr>
          <w:rFonts w:hint="eastAsia" w:asciiTheme="minorEastAsia" w:hAnsiTheme="minorEastAsia" w:eastAsiaTheme="minorEastAsia" w:cstheme="minorEastAsia"/>
          <w:color w:val="000000"/>
          <w:kern w:val="0"/>
          <w:sz w:val="28"/>
          <w:szCs w:val="28"/>
        </w:rPr>
        <w:t>全血：用于内科急性出血引起的血红蛋白和血容量的迅速下降并伴有缺氧症状，血红蛋白＜70g/L，或者红细胞压积＜0.22，或出现失血性休克时考虑输注，但晶体液合并胶体液扩容仍是治疗失血性休克的主要输血方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二、血站血费报销政策</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asciiTheme="minorEastAsia" w:hAnsiTheme="minorEastAsia" w:eastAsiaTheme="minorEastAsia" w:cstheme="minorEastAsia"/>
          <w:b/>
          <w:color w:val="000000"/>
          <w:spacing w:val="0"/>
          <w:kern w:val="0"/>
          <w:sz w:val="28"/>
          <w:szCs w:val="28"/>
          <w:lang w:val="en-US" w:eastAsia="zh-CN" w:bidi="ar-SA"/>
        </w:rPr>
      </w:pPr>
      <w:r>
        <w:rPr>
          <w:rFonts w:hint="eastAsia" w:asciiTheme="minorEastAsia" w:hAnsiTheme="minorEastAsia" w:eastAsiaTheme="minorEastAsia" w:cstheme="minorEastAsia"/>
          <w:b/>
          <w:color w:val="000000"/>
          <w:spacing w:val="0"/>
          <w:kern w:val="0"/>
          <w:sz w:val="28"/>
          <w:szCs w:val="28"/>
          <w:lang w:val="en-US" w:eastAsia="zh-CN" w:bidi="ar-SA"/>
        </w:rPr>
        <w:t>（一）用血减免范围</w:t>
      </w:r>
    </w:p>
    <w:p>
      <w:pPr>
        <w:pStyle w:val="7"/>
        <w:keepNext w:val="0"/>
        <w:keepLines w:val="0"/>
        <w:pageBreakBefore w:val="0"/>
        <w:widowControl w:val="0"/>
        <w:kinsoku/>
        <w:wordWrap/>
        <w:overflowPunct/>
        <w:topLinePunct w:val="0"/>
        <w:autoSpaceDE/>
        <w:autoSpaceDN/>
        <w:bidi w:val="0"/>
        <w:adjustRightInd/>
        <w:snapToGrid/>
        <w:spacing w:line="360" w:lineRule="auto"/>
        <w:ind w:right="420" w:firstLine="520" w:firstLineChars="200"/>
        <w:jc w:val="both"/>
        <w:textAlignment w:val="auto"/>
        <w:rPr>
          <w:rFonts w:hint="eastAsia"/>
          <w:spacing w:val="-10"/>
        </w:rPr>
      </w:pPr>
      <w:r>
        <w:rPr>
          <w:rFonts w:hint="eastAsia"/>
          <w:spacing w:val="-10"/>
        </w:rPr>
        <w:t>无偿献血者本人、受益人（配偶、父母、子女、兄弟姐妹、祖父母</w:t>
      </w:r>
      <w:r>
        <w:rPr>
          <w:rFonts w:hint="eastAsia"/>
          <w:spacing w:val="-10"/>
          <w:lang w:eastAsia="zh-CN"/>
        </w:rPr>
        <w:t>、</w:t>
      </w:r>
      <w:r>
        <w:rPr>
          <w:rFonts w:hint="eastAsia"/>
          <w:spacing w:val="-10"/>
        </w:rPr>
        <w:t>外祖父母、配偶父母、子女配偶）</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asciiTheme="minorEastAsia" w:hAnsiTheme="minorEastAsia" w:eastAsiaTheme="minorEastAsia" w:cstheme="minorEastAsia"/>
          <w:b/>
          <w:color w:val="000000"/>
          <w:spacing w:val="0"/>
          <w:kern w:val="0"/>
          <w:sz w:val="28"/>
          <w:szCs w:val="28"/>
          <w:lang w:val="en-US" w:eastAsia="zh-CN" w:bidi="ar-SA"/>
        </w:rPr>
      </w:pPr>
      <w:r>
        <w:rPr>
          <w:rFonts w:hint="eastAsia" w:asciiTheme="minorEastAsia" w:hAnsiTheme="minorEastAsia" w:eastAsiaTheme="minorEastAsia" w:cstheme="minorEastAsia"/>
          <w:b/>
          <w:color w:val="000000"/>
          <w:spacing w:val="0"/>
          <w:kern w:val="0"/>
          <w:sz w:val="28"/>
          <w:szCs w:val="28"/>
          <w:lang w:val="en-US" w:eastAsia="zh-CN" w:bidi="ar-SA"/>
        </w:rPr>
        <w:t>（二）减免标准</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spacing w:val="-10"/>
        </w:rPr>
      </w:pPr>
      <w:r>
        <w:rPr>
          <w:rFonts w:hint="eastAsia"/>
          <w:spacing w:val="-10"/>
          <w:lang w:val="en-US" w:eastAsia="zh-CN"/>
        </w:rPr>
        <w:t>1、</w:t>
      </w:r>
      <w:r>
        <w:rPr>
          <w:rFonts w:hint="eastAsia"/>
          <w:spacing w:val="-10"/>
        </w:rPr>
        <w:t>在本省内献血的无偿献血者及其受益人按下列标准执行临床用血费用减免：</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spacing w:val="-10"/>
        </w:rPr>
      </w:pPr>
      <w:r>
        <w:rPr>
          <w:rFonts w:hint="eastAsia"/>
          <w:spacing w:val="-10"/>
          <w:lang w:eastAsia="zh-CN"/>
        </w:rPr>
        <w:t>（</w:t>
      </w:r>
      <w:r>
        <w:rPr>
          <w:rFonts w:hint="eastAsia"/>
          <w:spacing w:val="-10"/>
          <w:lang w:val="en-US" w:eastAsia="zh-CN"/>
        </w:rPr>
        <w:t>1）</w:t>
      </w:r>
      <w:r>
        <w:rPr>
          <w:rFonts w:hint="eastAsia"/>
          <w:spacing w:val="-10"/>
        </w:rPr>
        <w:t>无偿献血者献血量（在本省行政区域内所有</w:t>
      </w:r>
      <w:r>
        <w:rPr>
          <w:rFonts w:hint="eastAsia"/>
          <w:spacing w:val="-10"/>
          <w:lang w:val="en-US" w:eastAsia="zh-CN"/>
        </w:rPr>
        <w:t>血站的献</w:t>
      </w:r>
      <w:r>
        <w:rPr>
          <w:rFonts w:hint="eastAsia"/>
          <w:spacing w:val="-10"/>
        </w:rPr>
        <w:t>血量累计计算，下同）在 1000 毫升以下的，本人自献血之日起5年内，享受减免5倍献血量的临床用血费用，5年后终身享受减免与献血量等量的临床用血费用。</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spacing w:val="-10"/>
        </w:rPr>
      </w:pPr>
      <w:r>
        <w:rPr>
          <w:rFonts w:hint="eastAsia"/>
          <w:spacing w:val="-10"/>
          <w:lang w:eastAsia="zh-CN"/>
        </w:rPr>
        <w:t>（</w:t>
      </w:r>
      <w:r>
        <w:rPr>
          <w:rFonts w:hint="eastAsia"/>
          <w:spacing w:val="-10"/>
          <w:lang w:val="en-US" w:eastAsia="zh-CN"/>
        </w:rPr>
        <w:t>2）</w:t>
      </w:r>
      <w:r>
        <w:rPr>
          <w:rFonts w:hint="eastAsia"/>
          <w:spacing w:val="-10"/>
        </w:rPr>
        <w:t>献血量累计达 1000 毫升及以上的，本人终身享受无限量临床用血费用减免。</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spacing w:val="-10"/>
        </w:rPr>
      </w:pPr>
      <w:r>
        <w:rPr>
          <w:rFonts w:hint="eastAsia"/>
          <w:spacing w:val="-10"/>
          <w:lang w:eastAsia="zh-CN"/>
        </w:rPr>
        <w:t>（</w:t>
      </w:r>
      <w:r>
        <w:rPr>
          <w:rFonts w:hint="eastAsia"/>
          <w:spacing w:val="-10"/>
          <w:lang w:val="en-US" w:eastAsia="zh-CN"/>
        </w:rPr>
        <w:t>3）</w:t>
      </w:r>
      <w:r>
        <w:rPr>
          <w:rFonts w:hint="eastAsia"/>
          <w:spacing w:val="-10"/>
        </w:rPr>
        <w:t>受益人临床用血，享受减免累计不超过无偿献血者献血量的用血费用。</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spacing w:val="-10"/>
        </w:rPr>
      </w:pPr>
      <w:r>
        <w:rPr>
          <w:rFonts w:hint="eastAsia"/>
          <w:spacing w:val="-10"/>
          <w:lang w:val="en-US" w:eastAsia="zh-CN"/>
        </w:rPr>
        <w:t>2、</w:t>
      </w:r>
      <w:r>
        <w:rPr>
          <w:rFonts w:hint="eastAsia"/>
          <w:spacing w:val="-10"/>
        </w:rPr>
        <w:t>无偿献血者本人与受益人用血减免标准互不影响。</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spacing w:val="-10"/>
        </w:rPr>
      </w:pPr>
      <w:r>
        <w:rPr>
          <w:rFonts w:hint="eastAsia"/>
          <w:spacing w:val="-10"/>
          <w:lang w:val="en-US" w:eastAsia="zh-CN"/>
        </w:rPr>
        <w:t>3、</w:t>
      </w:r>
      <w:r>
        <w:rPr>
          <w:spacing w:val="-10"/>
        </w:rPr>
        <w:t>每捐献</w:t>
      </w:r>
      <w:r>
        <w:rPr>
          <w:rFonts w:hint="eastAsia"/>
          <w:spacing w:val="-10"/>
        </w:rPr>
        <w:t>1</w:t>
      </w:r>
      <w:r>
        <w:rPr>
          <w:spacing w:val="-10"/>
        </w:rPr>
        <w:t>个治疗量的单采血液成分，按</w:t>
      </w:r>
      <w:r>
        <w:rPr>
          <w:rFonts w:hint="eastAsia"/>
          <w:spacing w:val="-10"/>
        </w:rPr>
        <w:t>800</w:t>
      </w:r>
      <w:r>
        <w:rPr>
          <w:spacing w:val="-10"/>
        </w:rPr>
        <w:t>毫升全血量予以减免费用。</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spacing w:val="-10"/>
        </w:rPr>
      </w:pPr>
      <w:r>
        <w:rPr>
          <w:rFonts w:hint="eastAsia"/>
          <w:spacing w:val="-10"/>
          <w:lang w:val="en-US" w:eastAsia="zh-CN"/>
        </w:rPr>
        <w:t>4、</w:t>
      </w:r>
      <w:r>
        <w:rPr>
          <w:spacing w:val="-10"/>
        </w:rPr>
        <w:t>无偿献血者所献血液首次复检不合格的，按照该减免标准执行。</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asciiTheme="minorEastAsia" w:hAnsiTheme="minorEastAsia" w:eastAsiaTheme="minorEastAsia" w:cstheme="minorEastAsia"/>
          <w:b/>
          <w:color w:val="000000"/>
          <w:spacing w:val="0"/>
          <w:kern w:val="0"/>
          <w:sz w:val="28"/>
          <w:szCs w:val="28"/>
          <w:lang w:val="en-US" w:eastAsia="zh-CN" w:bidi="ar-SA"/>
        </w:rPr>
      </w:pPr>
      <w:r>
        <w:rPr>
          <w:rFonts w:hint="eastAsia" w:asciiTheme="minorEastAsia" w:hAnsiTheme="minorEastAsia" w:eastAsiaTheme="minorEastAsia" w:cstheme="minorEastAsia"/>
          <w:b/>
          <w:color w:val="000000"/>
          <w:spacing w:val="0"/>
          <w:kern w:val="0"/>
          <w:sz w:val="28"/>
          <w:szCs w:val="28"/>
          <w:lang w:val="en-US" w:eastAsia="zh-CN" w:bidi="ar-SA"/>
        </w:rPr>
        <w:t>（三）减免相关规定</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spacing w:val="-10"/>
        </w:rPr>
      </w:pPr>
      <w:r>
        <w:rPr>
          <w:rFonts w:hint="eastAsia"/>
          <w:spacing w:val="-10"/>
          <w:lang w:val="en-US" w:eastAsia="zh-CN"/>
        </w:rPr>
        <w:t>1、</w:t>
      </w:r>
      <w:r>
        <w:rPr>
          <w:spacing w:val="-10"/>
        </w:rPr>
        <w:t>享受城镇职工或居民基本医疗保险等待遇的献血者，减免费用为医疗保险报销后的部分。</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spacing w:val="-10"/>
        </w:rPr>
      </w:pPr>
      <w:r>
        <w:rPr>
          <w:rFonts w:hint="eastAsia"/>
          <w:spacing w:val="-10"/>
          <w:lang w:val="en-US" w:eastAsia="zh-CN"/>
        </w:rPr>
        <w:t>2、</w:t>
      </w:r>
      <w:r>
        <w:rPr>
          <w:spacing w:val="-10"/>
        </w:rPr>
        <w:t>无偿献血者在省内多个血站献血的，临床用血减免费用由各献血地血站按献血比例进行分摊和结算。</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spacing w:val="-10"/>
        </w:rPr>
      </w:pPr>
      <w:r>
        <w:rPr>
          <w:rFonts w:hint="eastAsia"/>
          <w:spacing w:val="-10"/>
          <w:lang w:val="en-US" w:eastAsia="zh-CN"/>
        </w:rPr>
        <w:t>3、</w:t>
      </w:r>
      <w:r>
        <w:rPr>
          <w:spacing w:val="-10"/>
        </w:rPr>
        <w:t>献血地和用血地减免标准不一致的，按照献血地减免标准执行。</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spacing w:val="-10"/>
        </w:rPr>
      </w:pPr>
      <w:r>
        <w:rPr>
          <w:rFonts w:hint="eastAsia"/>
          <w:spacing w:val="-10"/>
          <w:lang w:val="en-US" w:eastAsia="zh-CN"/>
        </w:rPr>
        <w:t>4、</w:t>
      </w:r>
      <w:r>
        <w:rPr>
          <w:spacing w:val="-10"/>
        </w:rPr>
        <w:t>用血者有多个亲属参加过无偿献血的，只在用血费用限额内予以减免，不予分别重复减免。</w:t>
      </w:r>
    </w:p>
    <w:p>
      <w:pPr>
        <w:pStyle w:val="7"/>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rPr>
          <w:rFonts w:hint="eastAsia" w:asciiTheme="minorEastAsia" w:hAnsiTheme="minorEastAsia" w:eastAsiaTheme="minorEastAsia" w:cstheme="minorEastAsia"/>
          <w:b/>
          <w:color w:val="000000"/>
          <w:spacing w:val="0"/>
          <w:kern w:val="0"/>
          <w:sz w:val="28"/>
          <w:szCs w:val="28"/>
          <w:lang w:val="en-US" w:eastAsia="zh-CN" w:bidi="ar-SA"/>
        </w:rPr>
      </w:pPr>
      <w:r>
        <w:rPr>
          <w:rFonts w:hint="eastAsia" w:asciiTheme="minorEastAsia" w:hAnsiTheme="minorEastAsia" w:eastAsiaTheme="minorEastAsia" w:cstheme="minorEastAsia"/>
          <w:b/>
          <w:color w:val="000000"/>
          <w:spacing w:val="0"/>
          <w:kern w:val="0"/>
          <w:sz w:val="28"/>
          <w:szCs w:val="28"/>
          <w:lang w:val="en-US" w:eastAsia="zh-CN" w:bidi="ar-SA"/>
        </w:rPr>
        <w:t>（四）减免流程</w:t>
      </w:r>
    </w:p>
    <w:p>
      <w:pPr>
        <w:pStyle w:val="7"/>
        <w:keepNext w:val="0"/>
        <w:keepLines w:val="0"/>
        <w:pageBreakBefore w:val="0"/>
        <w:widowControl w:val="0"/>
        <w:kinsoku/>
        <w:wordWrap/>
        <w:overflowPunct/>
        <w:topLinePunct w:val="0"/>
        <w:autoSpaceDE/>
        <w:autoSpaceDN/>
        <w:bidi w:val="0"/>
        <w:adjustRightInd/>
        <w:snapToGrid/>
        <w:spacing w:line="360" w:lineRule="auto"/>
        <w:ind w:right="430"/>
        <w:textAlignment w:val="auto"/>
        <w:rPr>
          <w:spacing w:val="-10"/>
          <w:w w:val="95"/>
        </w:rPr>
      </w:pPr>
      <w:r>
        <w:rPr>
          <w:rFonts w:hint="eastAsia"/>
          <w:spacing w:val="-10"/>
          <w:w w:val="95"/>
          <w:lang w:val="en-US" w:eastAsia="zh-CN"/>
        </w:rPr>
        <w:t>1、</w:t>
      </w:r>
      <w:r>
        <w:rPr>
          <w:spacing w:val="-10"/>
          <w:w w:val="95"/>
        </w:rPr>
        <w:t>出院时在医疗机构结算的，按以下流程执行。</w:t>
      </w:r>
    </w:p>
    <w:p>
      <w:pPr>
        <w:pStyle w:val="7"/>
        <w:keepNext w:val="0"/>
        <w:keepLines w:val="0"/>
        <w:pageBreakBefore w:val="0"/>
        <w:widowControl w:val="0"/>
        <w:kinsoku/>
        <w:wordWrap/>
        <w:overflowPunct/>
        <w:topLinePunct w:val="0"/>
        <w:autoSpaceDE/>
        <w:autoSpaceDN/>
        <w:bidi w:val="0"/>
        <w:adjustRightInd/>
        <w:snapToGrid/>
        <w:spacing w:line="360" w:lineRule="auto"/>
        <w:ind w:right="430"/>
        <w:textAlignment w:val="auto"/>
        <w:rPr>
          <w:spacing w:val="-10"/>
          <w:w w:val="95"/>
        </w:rPr>
      </w:pPr>
      <w:r>
        <w:rPr>
          <w:rFonts w:hint="eastAsia"/>
          <w:spacing w:val="-10"/>
          <w:w w:val="95"/>
          <w:lang w:eastAsia="zh-CN"/>
        </w:rPr>
        <w:t>（</w:t>
      </w:r>
      <w:r>
        <w:rPr>
          <w:rFonts w:hint="eastAsia"/>
          <w:spacing w:val="-10"/>
          <w:w w:val="95"/>
          <w:lang w:val="en-US" w:eastAsia="zh-CN"/>
        </w:rPr>
        <w:t>1）</w:t>
      </w:r>
      <w:r>
        <w:rPr>
          <w:spacing w:val="-10"/>
          <w:w w:val="95"/>
        </w:rPr>
        <w:t>申请人提供献血者、用血者和代办人有效身份证件（如居民身份证、户口本、护照、军官证等，下同）、无偿献血临床用血费用减免知情同意书。</w:t>
      </w:r>
    </w:p>
    <w:p>
      <w:pPr>
        <w:pStyle w:val="7"/>
        <w:keepNext w:val="0"/>
        <w:keepLines w:val="0"/>
        <w:pageBreakBefore w:val="0"/>
        <w:widowControl w:val="0"/>
        <w:kinsoku/>
        <w:wordWrap/>
        <w:overflowPunct/>
        <w:topLinePunct w:val="0"/>
        <w:autoSpaceDE/>
        <w:autoSpaceDN/>
        <w:bidi w:val="0"/>
        <w:adjustRightInd/>
        <w:snapToGrid/>
        <w:spacing w:line="360" w:lineRule="auto"/>
        <w:ind w:right="430"/>
        <w:textAlignment w:val="auto"/>
        <w:rPr>
          <w:spacing w:val="-10"/>
          <w:w w:val="95"/>
        </w:rPr>
      </w:pPr>
      <w:r>
        <w:rPr>
          <w:spacing w:val="-10"/>
          <w:w w:val="95"/>
        </w:rPr>
        <w:t>（</w:t>
      </w:r>
      <w:r>
        <w:rPr>
          <w:rFonts w:hint="eastAsia"/>
          <w:spacing w:val="-10"/>
          <w:w w:val="95"/>
          <w:lang w:val="en-US" w:eastAsia="zh-CN"/>
        </w:rPr>
        <w:t>2</w:t>
      </w:r>
      <w:r>
        <w:rPr>
          <w:spacing w:val="-10"/>
          <w:w w:val="95"/>
        </w:rPr>
        <w:t>）医疗机构调取无偿献血者及其受益人临床用血费用减免数据，审核合格的，直接减免费用；审核不合格的，说明未通过的原因。</w:t>
      </w:r>
    </w:p>
    <w:p>
      <w:pPr>
        <w:pStyle w:val="7"/>
        <w:keepNext w:val="0"/>
        <w:keepLines w:val="0"/>
        <w:pageBreakBefore w:val="0"/>
        <w:widowControl w:val="0"/>
        <w:kinsoku/>
        <w:wordWrap/>
        <w:overflowPunct/>
        <w:topLinePunct w:val="0"/>
        <w:autoSpaceDE/>
        <w:autoSpaceDN/>
        <w:bidi w:val="0"/>
        <w:adjustRightInd/>
        <w:snapToGrid/>
        <w:spacing w:line="360" w:lineRule="auto"/>
        <w:ind w:right="430"/>
        <w:textAlignment w:val="auto"/>
        <w:rPr>
          <w:spacing w:val="-10"/>
          <w:w w:val="95"/>
        </w:rPr>
      </w:pPr>
      <w:r>
        <w:rPr>
          <w:spacing w:val="-10"/>
          <w:w w:val="95"/>
        </w:rPr>
        <w:t>（</w:t>
      </w:r>
      <w:r>
        <w:rPr>
          <w:rFonts w:hint="eastAsia"/>
          <w:spacing w:val="-10"/>
          <w:w w:val="95"/>
          <w:lang w:val="en-US" w:eastAsia="zh-CN"/>
        </w:rPr>
        <w:t>3</w:t>
      </w:r>
      <w:r>
        <w:rPr>
          <w:spacing w:val="-10"/>
          <w:w w:val="95"/>
        </w:rPr>
        <w:t>）医院减免的临床用血费用按月汇总，经当地血站审核后，进行费用往来结算。</w:t>
      </w:r>
    </w:p>
    <w:p>
      <w:pPr>
        <w:pStyle w:val="7"/>
        <w:keepNext w:val="0"/>
        <w:keepLines w:val="0"/>
        <w:pageBreakBefore w:val="0"/>
        <w:widowControl w:val="0"/>
        <w:kinsoku/>
        <w:wordWrap/>
        <w:overflowPunct/>
        <w:topLinePunct w:val="0"/>
        <w:autoSpaceDE/>
        <w:autoSpaceDN/>
        <w:bidi w:val="0"/>
        <w:adjustRightInd/>
        <w:snapToGrid/>
        <w:spacing w:line="360" w:lineRule="auto"/>
        <w:ind w:right="419"/>
        <w:jc w:val="both"/>
        <w:textAlignment w:val="auto"/>
      </w:pPr>
      <w:r>
        <w:rPr>
          <w:rFonts w:hint="eastAsia"/>
          <w:spacing w:val="-10"/>
          <w:lang w:val="en-US" w:eastAsia="zh-CN"/>
        </w:rPr>
        <w:t>2、</w:t>
      </w:r>
      <w:r>
        <w:rPr>
          <w:spacing w:val="-10"/>
        </w:rPr>
        <w:t>未在就诊医疗机构办理直接减免血费的，可通过</w:t>
      </w:r>
      <w:r>
        <w:rPr>
          <w:spacing w:val="-9"/>
          <w:w w:val="95"/>
        </w:rPr>
        <w:t>血站微信公众号</w:t>
      </w:r>
      <w:r>
        <w:rPr>
          <w:spacing w:val="-8"/>
          <w:w w:val="95"/>
        </w:rPr>
        <w:t>（服务号）</w:t>
      </w:r>
      <w:r>
        <w:rPr>
          <w:spacing w:val="-10"/>
          <w:w w:val="95"/>
        </w:rPr>
        <w:t>等线上方式或血站现场办理减免。按</w:t>
      </w:r>
      <w:r>
        <w:rPr>
          <w:spacing w:val="-8"/>
        </w:rPr>
        <w:t>以下流程执行。</w:t>
      </w:r>
    </w:p>
    <w:p>
      <w:pPr>
        <w:pStyle w:val="7"/>
        <w:keepNext w:val="0"/>
        <w:keepLines w:val="0"/>
        <w:pageBreakBefore w:val="0"/>
        <w:widowControl w:val="0"/>
        <w:kinsoku/>
        <w:wordWrap/>
        <w:overflowPunct/>
        <w:topLinePunct w:val="0"/>
        <w:autoSpaceDE/>
        <w:autoSpaceDN/>
        <w:bidi w:val="0"/>
        <w:adjustRightInd/>
        <w:snapToGrid/>
        <w:spacing w:before="3" w:line="360" w:lineRule="auto"/>
        <w:ind w:right="256"/>
        <w:textAlignment w:val="auto"/>
      </w:pPr>
      <w:r>
        <w:rPr>
          <w:rFonts w:hint="eastAsia" w:ascii="仿宋" w:eastAsia="仿宋"/>
          <w:w w:val="95"/>
        </w:rPr>
        <w:t>（</w:t>
      </w:r>
      <w:r>
        <w:rPr>
          <w:rFonts w:hint="eastAsia" w:ascii="仿宋" w:eastAsia="仿宋"/>
          <w:w w:val="95"/>
          <w:lang w:val="en-US" w:eastAsia="zh-CN"/>
        </w:rPr>
        <w:t>1</w:t>
      </w:r>
      <w:r>
        <w:rPr>
          <w:spacing w:val="-3"/>
          <w:w w:val="95"/>
        </w:rPr>
        <w:t>）</w:t>
      </w:r>
      <w:r>
        <w:rPr>
          <w:spacing w:val="-4"/>
          <w:w w:val="95"/>
        </w:rPr>
        <w:t>申请人提供献血者、用血者和代办人有效身份证件、</w:t>
      </w:r>
      <w:r>
        <w:rPr>
          <w:spacing w:val="-10"/>
        </w:rPr>
        <w:t>无偿献血临床用血费用减免知情同意书，就诊医疗机构出具的财务结算发票、用血清单、医疗保险费用结算单、收款方式。</w:t>
      </w:r>
    </w:p>
    <w:p>
      <w:pPr>
        <w:pStyle w:val="7"/>
        <w:keepNext w:val="0"/>
        <w:keepLines w:val="0"/>
        <w:pageBreakBefore w:val="0"/>
        <w:widowControl w:val="0"/>
        <w:kinsoku/>
        <w:wordWrap/>
        <w:overflowPunct/>
        <w:topLinePunct w:val="0"/>
        <w:autoSpaceDE/>
        <w:autoSpaceDN/>
        <w:bidi w:val="0"/>
        <w:adjustRightInd/>
        <w:snapToGrid/>
        <w:spacing w:before="7" w:line="360" w:lineRule="auto"/>
        <w:ind w:right="430"/>
        <w:textAlignment w:val="auto"/>
      </w:pPr>
      <w:r>
        <w:rPr>
          <w:spacing w:val="-8"/>
          <w:w w:val="95"/>
        </w:rPr>
        <w:t>（</w:t>
      </w:r>
      <w:r>
        <w:rPr>
          <w:rFonts w:hint="eastAsia"/>
          <w:spacing w:val="-8"/>
          <w:w w:val="95"/>
          <w:lang w:val="en-US" w:eastAsia="zh-CN"/>
        </w:rPr>
        <w:t>2</w:t>
      </w:r>
      <w:r>
        <w:rPr>
          <w:spacing w:val="-8"/>
          <w:w w:val="95"/>
        </w:rPr>
        <w:t>）</w:t>
      </w:r>
      <w:r>
        <w:rPr>
          <w:spacing w:val="-10"/>
          <w:w w:val="95"/>
        </w:rPr>
        <w:t>血站审核合格后将减免金额按申请人提供的收款方式</w:t>
      </w:r>
      <w:r>
        <w:rPr>
          <w:spacing w:val="-9"/>
        </w:rPr>
        <w:t>汇入申请人账户。</w:t>
      </w:r>
    </w:p>
    <w:p>
      <w:pPr>
        <w:pStyle w:val="7"/>
        <w:keepNext w:val="0"/>
        <w:keepLines w:val="0"/>
        <w:pageBreakBefore w:val="0"/>
        <w:widowControl w:val="0"/>
        <w:kinsoku/>
        <w:wordWrap/>
        <w:overflowPunct/>
        <w:topLinePunct w:val="0"/>
        <w:autoSpaceDE/>
        <w:autoSpaceDN/>
        <w:bidi w:val="0"/>
        <w:adjustRightInd/>
        <w:snapToGrid/>
        <w:spacing w:before="3" w:line="360" w:lineRule="auto"/>
        <w:ind w:right="430"/>
        <w:textAlignment w:val="auto"/>
      </w:pPr>
      <w:r>
        <w:rPr>
          <w:spacing w:val="-8"/>
          <w:w w:val="95"/>
        </w:rPr>
        <w:t>（</w:t>
      </w:r>
      <w:r>
        <w:rPr>
          <w:rFonts w:hint="eastAsia"/>
          <w:spacing w:val="-8"/>
          <w:w w:val="95"/>
          <w:lang w:val="en-US" w:eastAsia="zh-CN"/>
        </w:rPr>
        <w:t>3</w:t>
      </w:r>
      <w:r>
        <w:rPr>
          <w:spacing w:val="-8"/>
          <w:w w:val="95"/>
        </w:rPr>
        <w:t>）</w:t>
      </w:r>
      <w:r>
        <w:rPr>
          <w:spacing w:val="-10"/>
          <w:w w:val="95"/>
        </w:rPr>
        <w:t>临床用血费用减免申请信息未通过审核的，血站向申</w:t>
      </w:r>
      <w:r>
        <w:rPr>
          <w:spacing w:val="-10"/>
        </w:rPr>
        <w:t>请人反馈审核意见，说明未通过审核原因。</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rPr>
          <w:rFonts w:hint="eastAsia"/>
        </w:rPr>
      </w:pPr>
    </w:p>
    <w:p>
      <w:pPr>
        <w:pStyle w:val="2"/>
        <w:spacing w:before="0" w:after="0" w:line="240" w:lineRule="auto"/>
        <w:jc w:val="center"/>
        <w:outlineLvl w:val="1"/>
        <w:rPr>
          <w:rFonts w:hint="eastAsia" w:asciiTheme="majorEastAsia" w:hAnsiTheme="majorEastAsia" w:eastAsiaTheme="majorEastAsia" w:cstheme="majorEastAsia"/>
          <w:sz w:val="44"/>
          <w:szCs w:val="44"/>
          <w:lang w:val="en-US" w:eastAsia="zh-CN"/>
        </w:rPr>
      </w:pPr>
      <w:bookmarkStart w:id="104" w:name="_Toc29970"/>
      <w:bookmarkStart w:id="105" w:name="_Toc9397"/>
      <w:bookmarkStart w:id="106" w:name="_Toc15233"/>
      <w:bookmarkStart w:id="107" w:name="_Toc9134"/>
      <w:r>
        <w:rPr>
          <w:rFonts w:hint="eastAsia" w:asciiTheme="majorEastAsia" w:hAnsiTheme="majorEastAsia" w:eastAsiaTheme="majorEastAsia" w:cstheme="majorEastAsia"/>
          <w:sz w:val="44"/>
          <w:szCs w:val="44"/>
          <w:lang w:val="en-US" w:eastAsia="zh-CN"/>
        </w:rPr>
        <w:t>第十二章 血液透析报销政策</w:t>
      </w:r>
      <w:bookmarkEnd w:id="104"/>
      <w:bookmarkEnd w:id="105"/>
      <w:bookmarkEnd w:id="106"/>
      <w:bookmarkEnd w:id="107"/>
    </w:p>
    <w:p>
      <w:pPr>
        <w:rPr>
          <w:rFonts w:hint="eastAsia"/>
        </w:rPr>
      </w:pPr>
    </w:p>
    <w:p>
      <w:pPr>
        <w:bidi w:val="0"/>
        <w:ind w:firstLine="1606" w:firstLineChars="500"/>
        <w:jc w:val="both"/>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尿毒症血液透析打包付费及医保付费定额标准</w:t>
      </w:r>
    </w:p>
    <w:tbl>
      <w:tblPr>
        <w:tblStyle w:val="15"/>
        <w:tblpPr w:leftFromText="180" w:rightFromText="180" w:vertAnchor="text" w:horzAnchor="page" w:tblpX="502" w:tblpY="318"/>
        <w:tblOverlap w:val="never"/>
        <w:tblW w:w="106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653"/>
        <w:gridCol w:w="667"/>
        <w:gridCol w:w="645"/>
        <w:gridCol w:w="653"/>
        <w:gridCol w:w="652"/>
        <w:gridCol w:w="645"/>
        <w:gridCol w:w="668"/>
        <w:gridCol w:w="622"/>
        <w:gridCol w:w="653"/>
        <w:gridCol w:w="652"/>
        <w:gridCol w:w="690"/>
        <w:gridCol w:w="713"/>
        <w:gridCol w:w="652"/>
        <w:gridCol w:w="758"/>
        <w:gridCol w:w="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医院级别</w:t>
            </w:r>
          </w:p>
        </w:tc>
        <w:tc>
          <w:tcPr>
            <w:tcW w:w="32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血液透析</w:t>
            </w:r>
          </w:p>
        </w:tc>
        <w:tc>
          <w:tcPr>
            <w:tcW w:w="324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血液滤过</w:t>
            </w:r>
          </w:p>
        </w:tc>
        <w:tc>
          <w:tcPr>
            <w:tcW w:w="353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血液灌流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定额标准（元）</w:t>
            </w:r>
          </w:p>
        </w:tc>
        <w:tc>
          <w:tcPr>
            <w:tcW w:w="1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职工医保</w:t>
            </w:r>
          </w:p>
        </w:tc>
        <w:tc>
          <w:tcPr>
            <w:tcW w:w="13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居民医保</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定额标准（元）</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职工医保</w:t>
            </w:r>
          </w:p>
        </w:tc>
        <w:tc>
          <w:tcPr>
            <w:tcW w:w="13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居民医保</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定额标准（元）</w:t>
            </w:r>
          </w:p>
        </w:tc>
        <w:tc>
          <w:tcPr>
            <w:tcW w:w="1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职工医保</w:t>
            </w:r>
          </w:p>
        </w:tc>
        <w:tc>
          <w:tcPr>
            <w:tcW w:w="14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居民医保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1"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医保报销额（元）</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患者承担额（元）</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医保报销额（元）</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患者承担额</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16"/>
                <w:szCs w:val="16"/>
                <w:u w:val="none"/>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医保报销额（元）</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患者承担额</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医保报销额</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患者承担额</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16"/>
                <w:szCs w:val="16"/>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医保报销额（元）</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患者承担额</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医保报销额</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患者承担额</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三级医院</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570</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1190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1090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二级医院</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540</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1140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一级医院</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540</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510</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1090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1030</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w:t>
            </w:r>
          </w:p>
        </w:tc>
      </w:tr>
    </w:tbl>
    <w:p>
      <w:pPr>
        <w:bidi w:val="0"/>
        <w:jc w:val="left"/>
        <w:rPr>
          <w:rFonts w:hint="eastAsia" w:ascii="宋体" w:hAnsi="宋体" w:eastAsia="宋体" w:cs="宋体"/>
          <w:b/>
          <w:bCs/>
          <w:kern w:val="2"/>
          <w:sz w:val="16"/>
          <w:szCs w:val="16"/>
          <w:lang w:val="en-US" w:eastAsia="zh-CN" w:bidi="ar-SA"/>
        </w:rPr>
      </w:pPr>
    </w:p>
    <w:p>
      <w:pPr>
        <w:bidi w:val="0"/>
        <w:jc w:val="left"/>
        <w:rPr>
          <w:rFonts w:hint="eastAsia" w:ascii="Calibri" w:hAnsi="Calibri" w:eastAsia="宋体" w:cs="Times New Roman"/>
          <w:b/>
          <w:bCs/>
          <w:kern w:val="2"/>
          <w:sz w:val="20"/>
          <w:szCs w:val="20"/>
          <w:lang w:val="en-US" w:eastAsia="zh-CN" w:bidi="ar-SA"/>
        </w:rPr>
      </w:pPr>
    </w:p>
    <w:p>
      <w:pPr>
        <w:bidi w:val="0"/>
        <w:jc w:val="left"/>
        <w:rPr>
          <w:rFonts w:hint="eastAsia" w:ascii="Calibri" w:hAnsi="Calibri" w:eastAsia="宋体" w:cs="Times New Roman"/>
          <w:b/>
          <w:bCs/>
          <w:kern w:val="2"/>
          <w:sz w:val="21"/>
          <w:szCs w:val="24"/>
          <w:lang w:val="en-US" w:eastAsia="zh-CN" w:bidi="ar-SA"/>
        </w:rPr>
      </w:pPr>
      <w:r>
        <w:rPr>
          <w:rFonts w:hint="eastAsia" w:ascii="Calibri" w:hAnsi="Calibri" w:eastAsia="宋体" w:cs="Times New Roman"/>
          <w:b/>
          <w:bCs/>
          <w:kern w:val="2"/>
          <w:sz w:val="20"/>
          <w:szCs w:val="20"/>
          <w:lang w:val="en-US" w:eastAsia="zh-CN" w:bidi="ar-SA"/>
        </w:rPr>
        <w:t>注：血液透析收费标准包含血液透析治疗性操作中除抗凝血、治疗透析并发症所需药品之外的全部费用。血液透析环</w:t>
      </w:r>
      <w:r>
        <w:rPr>
          <w:rFonts w:hint="eastAsia" w:ascii="Calibri" w:hAnsi="Calibri" w:eastAsia="宋体" w:cs="Times New Roman"/>
          <w:b/>
          <w:bCs/>
          <w:kern w:val="2"/>
          <w:sz w:val="21"/>
          <w:szCs w:val="24"/>
          <w:lang w:val="en-US" w:eastAsia="zh-CN" w:bidi="ar-SA"/>
        </w:rPr>
        <w:t>节之外的检查、化验及治疗并发症所需的药品等实行按项目收费，按相应级别医院住院政策予以报销。</w:t>
      </w:r>
    </w:p>
    <w:p>
      <w:pPr>
        <w:rPr>
          <w:rFonts w:hint="eastAsia"/>
        </w:rPr>
      </w:pPr>
    </w:p>
    <w:p>
      <w:pPr>
        <w:pStyle w:val="2"/>
        <w:spacing w:before="0" w:after="0" w:line="240" w:lineRule="auto"/>
        <w:jc w:val="both"/>
        <w:outlineLvl w:val="9"/>
        <w:rPr>
          <w:rFonts w:hint="eastAsia" w:asciiTheme="majorEastAsia" w:hAnsiTheme="majorEastAsia" w:eastAsiaTheme="majorEastAsia" w:cstheme="majorEastAsia"/>
          <w:sz w:val="44"/>
          <w:szCs w:val="44"/>
          <w:lang w:val="en-US" w:eastAsia="zh-CN"/>
        </w:rPr>
      </w:pPr>
      <w:bookmarkStart w:id="108" w:name="_Toc11244"/>
      <w:bookmarkStart w:id="109" w:name="_Toc1783"/>
    </w:p>
    <w:p>
      <w:pPr>
        <w:pStyle w:val="2"/>
        <w:spacing w:before="0" w:after="0" w:line="240" w:lineRule="auto"/>
        <w:jc w:val="center"/>
        <w:outlineLvl w:val="1"/>
        <w:rPr>
          <w:rFonts w:hint="eastAsia" w:asciiTheme="majorEastAsia" w:hAnsiTheme="majorEastAsia" w:eastAsiaTheme="majorEastAsia" w:cstheme="majorEastAsia"/>
          <w:sz w:val="44"/>
          <w:szCs w:val="44"/>
          <w:lang w:val="en-US" w:eastAsia="zh-CN"/>
        </w:rPr>
      </w:pPr>
      <w:bookmarkStart w:id="110" w:name="_Toc31614"/>
      <w:bookmarkStart w:id="111" w:name="_Toc12031"/>
      <w:r>
        <w:rPr>
          <w:rFonts w:hint="eastAsia" w:asciiTheme="majorEastAsia" w:hAnsiTheme="majorEastAsia" w:eastAsiaTheme="majorEastAsia" w:cstheme="majorEastAsia"/>
          <w:sz w:val="44"/>
          <w:szCs w:val="44"/>
          <w:lang w:val="en-US" w:eastAsia="zh-CN"/>
        </w:rPr>
        <w:t>第十三章 早癌筛查</w:t>
      </w:r>
      <w:bookmarkEnd w:id="108"/>
      <w:bookmarkEnd w:id="109"/>
      <w:r>
        <w:rPr>
          <w:rFonts w:hint="eastAsia" w:asciiTheme="majorEastAsia" w:hAnsiTheme="majorEastAsia" w:eastAsiaTheme="majorEastAsia" w:cstheme="majorEastAsia"/>
          <w:sz w:val="44"/>
          <w:szCs w:val="44"/>
          <w:lang w:val="en-US" w:eastAsia="zh-CN"/>
        </w:rPr>
        <w:t>政策</w:t>
      </w:r>
      <w:bookmarkEnd w:id="110"/>
      <w:bookmarkEnd w:id="111"/>
    </w:p>
    <w:p>
      <w:pPr>
        <w:keepNext w:val="0"/>
        <w:keepLines w:val="0"/>
        <w:pageBreakBefore w:val="0"/>
        <w:widowControl w:val="0"/>
        <w:numPr>
          <w:ilvl w:val="0"/>
          <w:numId w:val="44"/>
        </w:numPr>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kern w:val="0"/>
          <w:sz w:val="36"/>
          <w:szCs w:val="36"/>
        </w:rPr>
      </w:pPr>
      <w:r>
        <w:rPr>
          <w:rFonts w:hint="eastAsia" w:asciiTheme="minorEastAsia" w:hAnsiTheme="minorEastAsia" w:eastAsiaTheme="minorEastAsia" w:cstheme="minorEastAsia"/>
          <w:b/>
          <w:color w:val="000000"/>
          <w:kern w:val="0"/>
          <w:sz w:val="36"/>
          <w:szCs w:val="36"/>
        </w:rPr>
        <w:t>早癌筛查</w:t>
      </w:r>
      <w:r>
        <w:rPr>
          <w:rFonts w:hint="eastAsia" w:asciiTheme="minorEastAsia" w:hAnsiTheme="minorEastAsia" w:eastAsiaTheme="minorEastAsia" w:cstheme="minorEastAsia"/>
          <w:b/>
          <w:color w:val="000000"/>
          <w:kern w:val="0"/>
          <w:sz w:val="36"/>
          <w:szCs w:val="36"/>
          <w:lang w:val="en-US" w:eastAsia="zh-CN"/>
        </w:rPr>
        <w:t>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eastAsia="zh-CN"/>
        </w:rPr>
      </w:pPr>
      <w:r>
        <w:rPr>
          <w:rFonts w:hint="eastAsia" w:asciiTheme="minorEastAsia" w:hAnsiTheme="minorEastAsia" w:eastAsiaTheme="minorEastAsia" w:cstheme="minorEastAsia"/>
          <w:color w:val="000000"/>
          <w:kern w:val="0"/>
          <w:sz w:val="28"/>
          <w:szCs w:val="28"/>
        </w:rPr>
        <w:t>肺癌、食道癌、胃癌、直肠癌、结肠癌</w:t>
      </w:r>
      <w:r>
        <w:rPr>
          <w:rFonts w:hint="eastAsia" w:asciiTheme="minorEastAsia" w:hAnsiTheme="minorEastAsia" w:eastAsiaTheme="minorEastAsia" w:cstheme="minorEastAsia"/>
          <w:color w:val="000000"/>
          <w:kern w:val="0"/>
          <w:sz w:val="28"/>
          <w:szCs w:val="28"/>
          <w:lang w:eastAsia="zh-CN"/>
        </w:rPr>
        <w:t>。</w:t>
      </w:r>
    </w:p>
    <w:p>
      <w:pPr>
        <w:keepNext w:val="0"/>
        <w:keepLines w:val="0"/>
        <w:pageBreakBefore w:val="0"/>
        <w:widowControl w:val="0"/>
        <w:numPr>
          <w:ilvl w:val="0"/>
          <w:numId w:val="44"/>
        </w:numPr>
        <w:kinsoku/>
        <w:wordWrap/>
        <w:overflowPunct/>
        <w:topLinePunct w:val="0"/>
        <w:autoSpaceDE/>
        <w:autoSpaceDN/>
        <w:bidi w:val="0"/>
        <w:adjustRightInd/>
        <w:snapToGrid/>
        <w:spacing w:line="560" w:lineRule="exact"/>
        <w:ind w:left="0" w:leftChars="0" w:firstLine="0" w:firstLineChars="0"/>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报销政策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rPr>
        <w:t>滨州市各县区参保职工，</w:t>
      </w:r>
      <w:r>
        <w:rPr>
          <w:rFonts w:hint="eastAsia" w:asciiTheme="minorEastAsia" w:hAnsiTheme="minorEastAsia" w:eastAsiaTheme="minorEastAsia" w:cstheme="minorEastAsia"/>
          <w:color w:val="000000"/>
          <w:kern w:val="0"/>
          <w:sz w:val="28"/>
          <w:szCs w:val="28"/>
          <w:lang w:val="en-US" w:eastAsia="zh-CN"/>
        </w:rPr>
        <w:t>在45周岁至70周岁之间（含45岁和70岁），筛查前未被确诊患有食管癌、胃癌、结肠癌、直肠癌、肺癌五种疾病，</w:t>
      </w:r>
      <w:r>
        <w:rPr>
          <w:rFonts w:hint="eastAsia" w:asciiTheme="minorEastAsia" w:hAnsiTheme="minorEastAsia" w:eastAsiaTheme="minorEastAsia" w:cstheme="minorEastAsia"/>
          <w:color w:val="000000"/>
          <w:kern w:val="0"/>
          <w:sz w:val="28"/>
          <w:szCs w:val="28"/>
        </w:rPr>
        <w:t>在医院健康管理中心经筛查问卷确认符合条件</w:t>
      </w:r>
      <w:r>
        <w:rPr>
          <w:rFonts w:hint="eastAsia" w:asciiTheme="minorEastAsia" w:hAnsiTheme="minorEastAsia" w:eastAsiaTheme="minorEastAsia" w:cstheme="minorEastAsia"/>
          <w:color w:val="000000"/>
          <w:kern w:val="0"/>
          <w:sz w:val="28"/>
          <w:szCs w:val="28"/>
          <w:lang w:val="en-US" w:eastAsia="zh-CN"/>
        </w:rPr>
        <w:t>的</w:t>
      </w:r>
      <w:r>
        <w:rPr>
          <w:rFonts w:hint="eastAsia" w:asciiTheme="minorEastAsia" w:hAnsiTheme="minorEastAsia" w:eastAsiaTheme="minorEastAsia" w:cstheme="minorEastAsia"/>
          <w:color w:val="000000"/>
          <w:kern w:val="0"/>
          <w:sz w:val="28"/>
          <w:szCs w:val="28"/>
        </w:rPr>
        <w:t>人员，</w:t>
      </w:r>
      <w:r>
        <w:rPr>
          <w:rFonts w:hint="eastAsia" w:asciiTheme="minorEastAsia" w:hAnsiTheme="minorEastAsia" w:eastAsiaTheme="minorEastAsia" w:cstheme="minorEastAsia"/>
          <w:color w:val="000000"/>
          <w:kern w:val="0"/>
          <w:sz w:val="28"/>
          <w:szCs w:val="28"/>
          <w:lang w:val="en-US" w:eastAsia="zh-CN"/>
        </w:rPr>
        <w:t>筛查费用由基本医疗保险统筹基金支付，肺部低剂量螺旋CT、普通胃镜、普通肠镜三项筛查项目不设起付线，支付比例为70%，其余部分由个人负担。</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国际编码对应关系如下：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诊疗项目仅限如下三个：</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ZA001 肺部低剂量螺旋CT（早癌专用）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ZA002普通胃镜（早癌专用）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ZA003普通肠镜（早癌专用）</w:t>
      </w:r>
    </w:p>
    <w:tbl>
      <w:tblPr>
        <w:tblStyle w:val="15"/>
        <w:tblpPr w:leftFromText="180" w:rightFromText="180" w:vertAnchor="page" w:horzAnchor="page" w:tblpX="1348" w:tblpY="2622"/>
        <w:tblOverlap w:val="never"/>
        <w:tblW w:w="97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5"/>
        <w:gridCol w:w="1321"/>
        <w:gridCol w:w="1321"/>
        <w:gridCol w:w="1254"/>
        <w:gridCol w:w="1194"/>
        <w:gridCol w:w="1194"/>
        <w:gridCol w:w="1073"/>
        <w:gridCol w:w="1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老编码</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老名称</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新早诊编码</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新早诊名称</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使用项目名称</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使用项目编码</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纳入限额</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报销比例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Z001</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肺癌</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D38.101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肺肿瘤</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ZA001</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肺部低剂量螺旋CT</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Z002</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食管癌</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D37.702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食管肿瘤</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ZA002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普通胃镜</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Z003</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胃癌 </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D37.101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胃肿瘤</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ZA002</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普通胃镜</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Z004</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结肠癌</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D37.401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结肠肿瘤</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ZA003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普通肠镜</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Z005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直肠癌</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D37.501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直肠肿瘤</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ZA003</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普通肠镜</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heme="majorEastAsia" w:hAnsiTheme="majorEastAsia" w:eastAsiaTheme="majorEastAsia" w:cstheme="majorEastAsia"/>
          <w:b/>
          <w:bCs/>
          <w:sz w:val="44"/>
          <w:szCs w:val="44"/>
          <w:lang w:val="en-US" w:eastAsia="zh-CN"/>
        </w:rPr>
      </w:pPr>
      <w:bookmarkStart w:id="112" w:name="_Toc24166"/>
      <w:r>
        <w:rPr>
          <w:rFonts w:hint="eastAsia" w:asciiTheme="majorEastAsia" w:hAnsiTheme="majorEastAsia" w:eastAsiaTheme="majorEastAsia" w:cstheme="majorEastAsia"/>
          <w:b/>
          <w:bCs/>
          <w:sz w:val="44"/>
          <w:szCs w:val="44"/>
          <w:lang w:val="en-US" w:eastAsia="zh-CN"/>
        </w:rPr>
        <w:t>第十四章 DIP付费政策</w:t>
      </w:r>
      <w:bookmarkEnd w:id="112"/>
    </w:p>
    <w:p>
      <w:pPr>
        <w:numPr>
          <w:ilvl w:val="0"/>
          <w:numId w:val="0"/>
        </w:numPr>
        <w:spacing w:line="560" w:lineRule="exact"/>
        <w:jc w:val="left"/>
        <w:rPr>
          <w:rFonts w:hint="eastAsia" w:ascii="宋体" w:hAnsi="宋体" w:eastAsia="宋体" w:cs="宋体"/>
          <w:color w:val="auto"/>
          <w:sz w:val="36"/>
          <w:szCs w:val="36"/>
          <w:lang w:val="en-US" w:eastAsia="zh-CN"/>
        </w:rPr>
      </w:pPr>
      <w:bookmarkStart w:id="113" w:name="_Toc9450"/>
      <w:bookmarkStart w:id="114" w:name="_Toc13344"/>
      <w:bookmarkStart w:id="115" w:name="_Toc26497"/>
    </w:p>
    <w:p>
      <w:pPr>
        <w:numPr>
          <w:ilvl w:val="0"/>
          <w:numId w:val="45"/>
        </w:numPr>
        <w:spacing w:line="560" w:lineRule="exact"/>
        <w:jc w:val="left"/>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结算办法</w:t>
      </w:r>
    </w:p>
    <w:p>
      <w:pPr>
        <w:numPr>
          <w:ilvl w:val="0"/>
          <w:numId w:val="0"/>
        </w:numPr>
        <w:spacing w:line="560" w:lineRule="exact"/>
        <w:jc w:val="left"/>
        <w:rPr>
          <w:rFonts w:hint="default" w:ascii="宋体" w:hAnsi="宋体" w:eastAsia="宋体" w:cs="宋体"/>
          <w:color w:val="auto"/>
          <w:sz w:val="44"/>
          <w:szCs w:val="44"/>
          <w:lang w:val="en-US" w:eastAsia="zh-CN"/>
        </w:rPr>
      </w:pPr>
    </w:p>
    <w:p>
      <w:pPr>
        <w:spacing w:line="560" w:lineRule="exact"/>
        <w:jc w:val="center"/>
        <w:rPr>
          <w:rFonts w:hint="eastAsia" w:ascii="宋体" w:hAnsi="宋体" w:eastAsia="宋体" w:cs="宋体"/>
          <w:color w:val="auto"/>
          <w:sz w:val="44"/>
          <w:szCs w:val="44"/>
        </w:rPr>
      </w:pPr>
      <w:r>
        <w:rPr>
          <w:rFonts w:hint="eastAsia" w:ascii="宋体" w:hAnsi="宋体" w:eastAsia="宋体" w:cs="宋体"/>
          <w:color w:val="auto"/>
          <w:sz w:val="44"/>
          <w:szCs w:val="44"/>
        </w:rPr>
        <w:t>滨州市</w:t>
      </w:r>
      <w:bookmarkStart w:id="116" w:name="_Hlk81467686"/>
      <w:r>
        <w:rPr>
          <w:rFonts w:hint="eastAsia" w:ascii="宋体" w:hAnsi="宋体" w:eastAsia="宋体" w:cs="宋体"/>
          <w:color w:val="auto"/>
          <w:sz w:val="44"/>
          <w:szCs w:val="44"/>
        </w:rPr>
        <w:t>基本医疗保险区域点数法总额预算和</w:t>
      </w:r>
    </w:p>
    <w:p>
      <w:pPr>
        <w:snapToGrid w:val="0"/>
        <w:spacing w:line="560" w:lineRule="exact"/>
        <w:jc w:val="center"/>
        <w:rPr>
          <w:rFonts w:hint="eastAsia" w:ascii="宋体" w:hAnsi="宋体" w:eastAsia="宋体" w:cs="宋体"/>
          <w:b/>
          <w:bCs/>
          <w:color w:val="auto"/>
          <w:sz w:val="44"/>
          <w:szCs w:val="44"/>
        </w:rPr>
      </w:pPr>
      <w:r>
        <w:rPr>
          <w:rFonts w:hint="eastAsia" w:ascii="宋体" w:hAnsi="宋体" w:eastAsia="宋体" w:cs="宋体"/>
          <w:color w:val="auto"/>
          <w:sz w:val="44"/>
          <w:szCs w:val="44"/>
        </w:rPr>
        <w:t>按病种分值付费结算办法（试行）</w:t>
      </w:r>
    </w:p>
    <w:bookmarkEnd w:id="116"/>
    <w:p>
      <w:pPr>
        <w:snapToGrid w:val="0"/>
        <w:spacing w:line="560" w:lineRule="exact"/>
        <w:rPr>
          <w:rFonts w:hint="eastAsia" w:ascii="仿宋" w:hAnsi="仿宋" w:eastAsia="仿宋"/>
          <w:color w:val="auto"/>
          <w:sz w:val="32"/>
          <w:szCs w:val="32"/>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为提高基本医疗保险基金使用效率，</w:t>
      </w:r>
      <w:r>
        <w:rPr>
          <w:rFonts w:hint="eastAsia" w:ascii="宋体" w:hAnsi="宋体" w:eastAsia="宋体" w:cs="宋体"/>
          <w:b w:val="0"/>
          <w:bCs w:val="0"/>
          <w:color w:val="auto"/>
          <w:sz w:val="28"/>
          <w:szCs w:val="28"/>
          <w:lang w:bidi="en-US"/>
        </w:rPr>
        <w:t>引导医疗资源合理配置，保障参保人员医疗待遇,</w:t>
      </w:r>
      <w:r>
        <w:rPr>
          <w:rFonts w:hint="eastAsia" w:ascii="宋体" w:hAnsi="宋体" w:eastAsia="宋体" w:cs="宋体"/>
          <w:b w:val="0"/>
          <w:bCs w:val="0"/>
          <w:color w:val="auto"/>
          <w:sz w:val="28"/>
          <w:szCs w:val="28"/>
        </w:rPr>
        <w:t>根据《中共中央国务院关于深化医疗保障制度改革的意见》、《国家医疗保障局办公室关于印发国家医疗保障按病种分值付费（DIP）技术规范和DIP病种目录库（1.0版）的通知》、《</w:t>
      </w:r>
      <w:r>
        <w:rPr>
          <w:rFonts w:hint="eastAsia" w:ascii="宋体" w:hAnsi="宋体" w:eastAsia="宋体" w:cs="宋体"/>
          <w:b w:val="0"/>
          <w:bCs w:val="0"/>
          <w:color w:val="auto"/>
          <w:sz w:val="28"/>
          <w:szCs w:val="28"/>
          <w:shd w:val="clear" w:color="auto" w:fill="FFFFFF"/>
        </w:rPr>
        <w:t>国家医疗保障局关于印发&lt;DRG/DIP 支付方式改革三年行动计划&gt;的通知</w:t>
      </w:r>
      <w:r>
        <w:rPr>
          <w:rFonts w:hint="eastAsia" w:ascii="宋体" w:hAnsi="宋体" w:eastAsia="宋体" w:cs="宋体"/>
          <w:b w:val="0"/>
          <w:bCs w:val="0"/>
          <w:color w:val="auto"/>
          <w:sz w:val="28"/>
          <w:szCs w:val="28"/>
        </w:rPr>
        <w:t>》、《</w:t>
      </w:r>
      <w:r>
        <w:rPr>
          <w:rFonts w:hint="eastAsia" w:ascii="宋体" w:hAnsi="宋体" w:eastAsia="宋体" w:cs="宋体"/>
          <w:b w:val="0"/>
          <w:bCs w:val="0"/>
          <w:color w:val="auto"/>
          <w:sz w:val="28"/>
          <w:szCs w:val="28"/>
          <w:shd w:val="clear" w:color="auto" w:fill="FFFFFF"/>
        </w:rPr>
        <w:t>国家医疗保障局办公室关于印发按病种分值付费（DIP）医疗保障经办管理规程（试行）的通知</w:t>
      </w:r>
      <w:r>
        <w:rPr>
          <w:rFonts w:hint="eastAsia" w:ascii="宋体" w:hAnsi="宋体" w:eastAsia="宋体" w:cs="宋体"/>
          <w:b w:val="0"/>
          <w:bCs w:val="0"/>
          <w:color w:val="auto"/>
          <w:sz w:val="28"/>
          <w:szCs w:val="28"/>
        </w:rPr>
        <w:t>》及省有关要求，结合我市实际，优化《结算办法》。</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一、适用范围</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滨州市基本医疗保险参保人员（含城镇职工、城乡居民医保参保人员）在我市协议定点医疗机构发生的住院医疗费用，由医保经办机构按照“预算管理、总额控制、病种赋值、首月预付、月预结算、年度清算”的原则，与定点医疗机构实行按病种分值付费（DIP）的办法结算医疗费用。</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自2024年1月1日起，除居民医保住院分娩按服务单元付费</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安宁疗护病床实行按床日定额付费外，其余病种全部纳入DIP付费范围。</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将恶性肿瘤住院治疗纳入DIP付费。对不涉及工伤及第方责任的符合基本医疗保险结算条件的意外伤害纳入DIP付费，由商业保险公司核查意外伤害原因后，救治医院按照“疾病诊断+治疗方式”规范上传编码，医保经办机构每月向商业保险承办机构传输相关信息及DIP预结算金额，由商业保险经办机构与救治医院进行预结算，次年与其他病种组一并清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将手法复位髓内针穿刺治疗四肢骨折等15个中医优势病种纳入DIP付费，增加并动态调整中医优势病种组，由卫健部门组织专家制定临床路径公布实施。医疗机构执行中医优势病种临床路径，入院登记、出院结算单独标识，按中医优势病种分值进行月度预付和年度清算，不纳入高低倍率、特例单议范围。</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继续深化精神病人按床日分值付费，提取2023年度精神病人住院全量数据，重新分组并调整分值。</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将脑瘫、自闭症儿童等康复治疗、恶性肿瘤门诊放化疗、尿毒症门诊透析等统一纳入门诊统筹基金支付。</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二、总体思路</w:t>
      </w:r>
    </w:p>
    <w:p>
      <w:pPr>
        <w:snapToGrid w:val="0"/>
        <w:spacing w:line="560" w:lineRule="exact"/>
        <w:ind w:firstLine="560" w:firstLineChars="20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以全市定点医疗机构</w:t>
      </w:r>
      <w:r>
        <w:rPr>
          <w:rFonts w:hint="eastAsia" w:ascii="宋体" w:hAnsi="宋体" w:eastAsia="宋体" w:cs="宋体"/>
          <w:color w:val="auto"/>
          <w:sz w:val="28"/>
          <w:szCs w:val="28"/>
        </w:rPr>
        <w:t>近3年</w:t>
      </w:r>
      <w:r>
        <w:rPr>
          <w:rFonts w:hint="eastAsia" w:ascii="宋体" w:hAnsi="宋体" w:eastAsia="宋体" w:cs="宋体"/>
          <w:color w:val="auto"/>
          <w:sz w:val="28"/>
          <w:szCs w:val="28"/>
          <w:lang w:val="zh-CN"/>
        </w:rPr>
        <w:t>住院病案大数据为基础，发掘“疾病诊断+治疗方式”的共性特征，对病案数据进行客观分类，形成每个疾病与治疗方式组合的标化定位，客观反映疾病严重程度、治疗复杂状态、资源消耗水平与临床行为规范。</w:t>
      </w:r>
    </w:p>
    <w:p>
      <w:pPr>
        <w:snapToGrid w:val="0"/>
        <w:spacing w:line="560" w:lineRule="exact"/>
        <w:ind w:firstLine="560" w:firstLineChars="20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在总额预算机制下，根据年度基本医疗保险支付总额、支付比例及各医疗机构病例的总分值计算</w:t>
      </w:r>
      <w:r>
        <w:rPr>
          <w:rFonts w:hint="eastAsia" w:ascii="宋体" w:hAnsi="宋体" w:eastAsia="宋体" w:cs="宋体"/>
          <w:color w:val="auto"/>
          <w:sz w:val="28"/>
          <w:szCs w:val="28"/>
        </w:rPr>
        <w:t>点值</w:t>
      </w:r>
      <w:r>
        <w:rPr>
          <w:rFonts w:hint="eastAsia" w:ascii="宋体" w:hAnsi="宋体" w:eastAsia="宋体" w:cs="宋体"/>
          <w:color w:val="auto"/>
          <w:sz w:val="28"/>
          <w:szCs w:val="28"/>
          <w:lang w:val="zh-CN"/>
        </w:rPr>
        <w:t>。医保部门基于病种分值和</w:t>
      </w:r>
      <w:r>
        <w:rPr>
          <w:rFonts w:hint="eastAsia" w:ascii="宋体" w:hAnsi="宋体" w:eastAsia="宋体" w:cs="宋体"/>
          <w:color w:val="auto"/>
          <w:sz w:val="28"/>
          <w:szCs w:val="28"/>
        </w:rPr>
        <w:t>点值</w:t>
      </w:r>
      <w:r>
        <w:rPr>
          <w:rFonts w:hint="eastAsia" w:ascii="宋体" w:hAnsi="宋体" w:eastAsia="宋体" w:cs="宋体"/>
          <w:color w:val="auto"/>
          <w:sz w:val="28"/>
          <w:szCs w:val="28"/>
          <w:lang w:val="zh-CN"/>
        </w:rPr>
        <w:t>形成支付标准，对医疗机构每病例实现标准化支付。</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三、基本原则</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（一）坚持区域总额预算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基本医疗保险（以下简称“基本医保”）基金实行全市区域年度总额预算管理，职工医保和居民医保分别确定。</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（二）坚持区域点数管理</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以客观病案数据为支撑，运用大数据手段，公开、透明、合理确定病种分组，计算病组分值，科学确定医疗机构权重系数，充分反映病种组合医疗服务产出，调动医务人员积极性。</w:t>
      </w:r>
    </w:p>
    <w:p>
      <w:pPr>
        <w:widowControl/>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（三）坚持定点医疗机构全覆盖</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区域内定点医疗机构全部纳入DIP改革范围；支持将患者住院较多的市外与我市直接联网结算的定点医疗机构纳入DIP付费改革范围。</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（四）坚持统一技术标准</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严格执行国家医保局DIP技术规范、医保结算清单等各项标准。</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（五）坚持引导分级诊疗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kern w:val="0"/>
          <w:sz w:val="28"/>
          <w:szCs w:val="28"/>
          <w:shd w:val="clear" w:color="auto" w:fill="FFFFFF"/>
          <w:lang w:bidi="ar"/>
        </w:rPr>
        <w:t>倡导建立基层首诊、双向转诊、急慢分治、上下联动的分级诊疗制度，实现小病就医在基层、大病就医不出县，疑难病不出市，引导定点医疗机构治疗与医疗水平相适应的疾病</w:t>
      </w:r>
      <w:r>
        <w:rPr>
          <w:rFonts w:hint="eastAsia" w:ascii="宋体" w:hAnsi="宋体" w:eastAsia="宋体" w:cs="宋体"/>
          <w:color w:val="auto"/>
          <w:sz w:val="28"/>
          <w:szCs w:val="28"/>
        </w:rPr>
        <w:t>。</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（六）坚持动态维护机制</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建立多方定期沟通协商机制，动态维护病种分组、分值和医疗机构权重系数等核心要素。</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四、住院统筹基金实行总额预算管理</w:t>
      </w:r>
    </w:p>
    <w:p>
      <w:pPr>
        <w:pStyle w:val="14"/>
        <w:widowControl/>
        <w:shd w:val="clear" w:color="auto" w:fill="FFFFFF"/>
        <w:spacing w:beforeAutospacing="0" w:afterAutospacing="0" w:line="560" w:lineRule="exact"/>
        <w:ind w:firstLine="560" w:firstLineChars="200"/>
        <w:jc w:val="both"/>
        <w:rPr>
          <w:rFonts w:hint="eastAsia" w:ascii="宋体" w:hAnsi="宋体" w:eastAsia="宋体" w:cs="宋体"/>
          <w:color w:val="auto"/>
          <w:sz w:val="28"/>
          <w:szCs w:val="28"/>
          <w:shd w:val="clear" w:color="auto" w:fill="FFFFFF"/>
          <w:lang w:bidi="ar"/>
        </w:rPr>
      </w:pPr>
      <w:r>
        <w:rPr>
          <w:rFonts w:hint="eastAsia" w:ascii="宋体" w:hAnsi="宋体" w:eastAsia="宋体" w:cs="宋体"/>
          <w:color w:val="auto"/>
          <w:sz w:val="28"/>
          <w:szCs w:val="28"/>
        </w:rPr>
        <w:t>以全市基本医保基金年度收入为基础，结合基本医保基金实际运行情况，综合考虑参保人员就医需求、经济社会发展、</w:t>
      </w:r>
      <w:r>
        <w:rPr>
          <w:rFonts w:hint="eastAsia" w:ascii="宋体" w:hAnsi="宋体" w:eastAsia="宋体" w:cs="宋体"/>
          <w:color w:val="auto"/>
          <w:sz w:val="28"/>
          <w:szCs w:val="28"/>
          <w:shd w:val="clear" w:color="auto" w:fill="FFFFFF"/>
          <w:lang w:bidi="ar"/>
        </w:rPr>
        <w:t>各类支出风险、医疗费用合理增长</w:t>
      </w:r>
      <w:r>
        <w:rPr>
          <w:rFonts w:hint="eastAsia" w:ascii="宋体" w:hAnsi="宋体" w:eastAsia="宋体" w:cs="宋体"/>
          <w:color w:val="auto"/>
          <w:sz w:val="28"/>
          <w:szCs w:val="28"/>
        </w:rPr>
        <w:t>等因素，</w:t>
      </w:r>
      <w:r>
        <w:rPr>
          <w:rFonts w:hint="eastAsia" w:ascii="宋体" w:hAnsi="宋体" w:eastAsia="宋体" w:cs="宋体"/>
          <w:color w:val="auto"/>
          <w:sz w:val="28"/>
          <w:szCs w:val="28"/>
          <w:shd w:val="clear" w:color="auto" w:fill="FFFFFF"/>
          <w:lang w:bidi="ar"/>
        </w:rPr>
        <w:t>合理确定医保基金年度总额控制指标。</w:t>
      </w:r>
    </w:p>
    <w:p>
      <w:pPr>
        <w:pStyle w:val="14"/>
        <w:widowControl/>
        <w:shd w:val="clear" w:color="auto" w:fill="FFFFFF"/>
        <w:spacing w:beforeAutospacing="0" w:afterAutospacing="0" w:line="560" w:lineRule="exact"/>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shd w:val="clear" w:color="auto" w:fill="FFFFFF"/>
          <w:lang w:bidi="ar"/>
        </w:rPr>
        <w:t>参考上年度居民医保基金实际支出额、本年度实际筹资额，在按规定提取风险金、非住院项目支出后，合理确定全市居民医保年度住院支出总额指标。参考上年度职工医保基金实际支出额度（不含划入个人账户额度，以下同），近3年增长幅度，合理确定全市职工医保年度住院总额指标。</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五、病种</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（一）核心病种和综合病种的确定</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根据定点医疗机构近3年出院病案数据，按“疾病诊断＋治疗方式”客观匹配组合。</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1.核心病种。</w:t>
      </w:r>
      <w:bookmarkStart w:id="117" w:name="_Hlk82414049"/>
      <w:r>
        <w:rPr>
          <w:rFonts w:hint="eastAsia" w:ascii="宋体" w:hAnsi="宋体" w:eastAsia="宋体" w:cs="宋体"/>
          <w:color w:val="auto"/>
          <w:sz w:val="28"/>
          <w:szCs w:val="28"/>
        </w:rPr>
        <w:t>病种组合例数15</w:t>
      </w:r>
      <w:bookmarkEnd w:id="117"/>
      <w:r>
        <w:rPr>
          <w:rFonts w:hint="eastAsia" w:ascii="宋体" w:hAnsi="宋体" w:eastAsia="宋体" w:cs="宋体"/>
          <w:color w:val="auto"/>
          <w:sz w:val="28"/>
          <w:szCs w:val="28"/>
        </w:rPr>
        <w:t>作为临界值，筛选大于等于15例的，形成核心病种。</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2.综合病种。病种组合例数小于15 的，根据病例间解剖、病因、诊断及治疗的共性特征，聚类组合形成综合病种。</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（二）设置基础病种，支持分级诊疗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选取部分适合基层医疗机构诊治的病种，形成基础病种。</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六、病种分值</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分析全市近3年出院病案数据，计算每一个病种组合平均医疗费用（或每日平均医疗费用）和所有出院病例平均住院费用的比值，按各级定点医疗机构出院人数进行校正后，形成病种分值。病种分值反映疾病的严重程度、治疗方式的复杂与疑难程度。职工医保、居民医保执行相同的病种分值。</w:t>
      </w:r>
    </w:p>
    <w:p>
      <w:pPr>
        <w:pStyle w:val="32"/>
        <w:spacing w:line="56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（一）病种分值的确定</w:t>
      </w:r>
    </w:p>
    <w:p>
      <w:pPr>
        <w:snapToGrid w:val="0"/>
        <w:spacing w:line="560" w:lineRule="exact"/>
        <w:ind w:firstLine="560" w:firstLineChars="200"/>
        <w:rPr>
          <w:rFonts w:hint="eastAsia" w:ascii="宋体" w:hAnsi="宋体" w:eastAsia="宋体" w:cs="宋体"/>
          <w:color w:val="auto"/>
          <w:sz w:val="28"/>
          <w:szCs w:val="28"/>
          <w:lang w:bidi="zh-CN"/>
        </w:rPr>
      </w:pPr>
      <w:r>
        <w:rPr>
          <w:rFonts w:hint="eastAsia" w:ascii="宋体" w:hAnsi="宋体" w:eastAsia="宋体" w:cs="宋体"/>
          <w:color w:val="auto"/>
          <w:sz w:val="28"/>
          <w:szCs w:val="28"/>
          <w:lang w:bidi="zh-CN"/>
        </w:rPr>
        <w:t>病种分值是不同出院病例的标化单位，可以利用该分值实现医院医疗服务产出的评价与比较，形成支付的基础。具体计算公式为：</w:t>
      </w:r>
    </w:p>
    <w:p>
      <w:pPr>
        <w:snapToGrid w:val="0"/>
        <w:spacing w:line="560" w:lineRule="exact"/>
        <w:ind w:firstLine="560" w:firstLineChars="200"/>
        <w:rPr>
          <w:rFonts w:ascii="仿宋" w:hAnsi="仿宋" w:eastAsia="仿宋"/>
          <w:color w:val="auto"/>
          <w:sz w:val="28"/>
          <w:szCs w:val="28"/>
          <w:lang w:bidi="zh-CN"/>
        </w:rPr>
      </w:pPr>
      <w:r>
        <w:rPr>
          <w:rFonts w:ascii="Cambria Math" w:hAnsi="Cambria Math" w:eastAsia="仿宋" w:cs="Cambria Math"/>
          <w:b w:val="0"/>
          <w:bCs w:val="0"/>
          <w:color w:val="auto"/>
          <w:sz w:val="28"/>
          <w:szCs w:val="28"/>
          <w:lang w:bidi="zh-CN"/>
        </w:rPr>
        <w:t>𝑹𝑾𝒊</w:t>
      </w:r>
      <w:r>
        <w:rPr>
          <w:rFonts w:ascii="仿宋" w:hAnsi="仿宋" w:eastAsia="仿宋"/>
          <w:b w:val="0"/>
          <w:bCs w:val="0"/>
          <w:color w:val="auto"/>
          <w:sz w:val="28"/>
          <w:szCs w:val="28"/>
          <w:lang w:bidi="zh-CN"/>
        </w:rPr>
        <w:t xml:space="preserve"> </w:t>
      </w:r>
      <w:r>
        <w:rPr>
          <w:rFonts w:ascii="仿宋" w:hAnsi="仿宋" w:eastAsia="仿宋"/>
          <w:color w:val="auto"/>
          <w:sz w:val="28"/>
          <w:szCs w:val="28"/>
          <w:lang w:bidi="zh-CN"/>
        </w:rPr>
        <w:t xml:space="preserve">= </w:t>
      </w:r>
      <w:r>
        <w:rPr>
          <w:rFonts w:ascii="Cambria Math" w:hAnsi="Cambria Math" w:eastAsia="仿宋" w:cs="Cambria Math"/>
          <w:color w:val="auto"/>
          <w:sz w:val="28"/>
          <w:szCs w:val="28"/>
          <w:lang w:bidi="zh-CN"/>
        </w:rPr>
        <w:t>𝑚𝑖</w:t>
      </w:r>
      <w:r>
        <w:rPr>
          <w:rFonts w:hint="eastAsia" w:ascii="微软雅黑" w:hAnsi="微软雅黑" w:eastAsia="微软雅黑" w:cs="微软雅黑"/>
          <w:color w:val="auto"/>
          <w:sz w:val="28"/>
          <w:szCs w:val="28"/>
          <w:lang w:bidi="zh-CN"/>
        </w:rPr>
        <w:t>⁄</w:t>
      </w:r>
      <w:r>
        <w:rPr>
          <w:rFonts w:ascii="Cambria Math" w:hAnsi="Cambria Math" w:eastAsia="仿宋" w:cs="Cambria Math"/>
          <w:color w:val="auto"/>
          <w:sz w:val="28"/>
          <w:szCs w:val="28"/>
          <w:lang w:bidi="zh-CN"/>
        </w:rPr>
        <w:t>𝑀</w:t>
      </w:r>
      <w:r>
        <w:rPr>
          <w:rFonts w:ascii="仿宋" w:hAnsi="仿宋" w:eastAsia="仿宋"/>
          <w:color w:val="auto"/>
          <w:sz w:val="28"/>
          <w:szCs w:val="28"/>
          <w:lang w:bidi="zh-CN"/>
        </w:rPr>
        <w:tab/>
      </w:r>
      <w:r>
        <w:rPr>
          <w:rFonts w:ascii="仿宋" w:hAnsi="仿宋" w:eastAsia="仿宋"/>
          <w:color w:val="auto"/>
          <w:sz w:val="28"/>
          <w:szCs w:val="28"/>
        </w:rPr>
        <w:t>×</w:t>
      </w:r>
      <w:r>
        <w:rPr>
          <w:rFonts w:hint="eastAsia" w:ascii="仿宋" w:hAnsi="仿宋" w:eastAsia="仿宋"/>
          <w:color w:val="auto"/>
          <w:sz w:val="28"/>
          <w:szCs w:val="28"/>
        </w:rPr>
        <w:t>1000</w:t>
      </w:r>
    </w:p>
    <w:p>
      <w:pPr>
        <w:snapToGrid w:val="0"/>
        <w:spacing w:line="560" w:lineRule="exact"/>
        <w:ind w:firstLine="560" w:firstLineChars="200"/>
        <w:rPr>
          <w:rFonts w:hint="eastAsia" w:ascii="仿宋" w:hAnsi="仿宋" w:eastAsia="仿宋"/>
          <w:color w:val="auto"/>
          <w:sz w:val="28"/>
          <w:szCs w:val="28"/>
          <w:lang w:bidi="zh-CN"/>
        </w:rPr>
      </w:pPr>
      <w:r>
        <w:rPr>
          <w:rFonts w:hint="eastAsia" w:ascii="仿宋" w:hAnsi="仿宋" w:eastAsia="仿宋"/>
          <w:color w:val="auto"/>
          <w:sz w:val="28"/>
          <w:szCs w:val="28"/>
          <w:lang w:bidi="zh-CN"/>
        </w:rPr>
        <w:t>M：</w:t>
      </w:r>
      <w:r>
        <w:rPr>
          <w:rFonts w:hint="eastAsia" w:ascii="宋体" w:hAnsi="宋体" w:eastAsia="宋体" w:cs="宋体"/>
          <w:color w:val="auto"/>
          <w:sz w:val="28"/>
          <w:szCs w:val="28"/>
          <w:lang w:bidi="zh-CN"/>
        </w:rPr>
        <w:t>全部病例平均住院费用</w:t>
      </w:r>
    </w:p>
    <w:p>
      <w:pPr>
        <w:spacing w:line="560" w:lineRule="exact"/>
        <w:ind w:firstLine="560" w:firstLineChars="200"/>
        <w:rPr>
          <w:rFonts w:hint="eastAsia" w:ascii="仿宋" w:hAnsi="仿宋" w:eastAsia="仿宋"/>
          <w:color w:val="auto"/>
          <w:sz w:val="28"/>
          <w:szCs w:val="28"/>
          <w:lang w:bidi="zh-CN"/>
        </w:rPr>
      </w:pPr>
      <w:r>
        <w:rPr>
          <w:rFonts w:ascii="Cambria Math" w:hAnsi="Cambria Math" w:eastAsia="仿宋" w:cs="Cambria Math"/>
          <w:color w:val="auto"/>
          <w:sz w:val="28"/>
          <w:szCs w:val="28"/>
          <w:lang w:bidi="zh-CN"/>
        </w:rPr>
        <w:t>𝑚𝑖</w:t>
      </w:r>
      <w:r>
        <w:rPr>
          <w:rFonts w:hint="eastAsia" w:ascii="仿宋" w:hAnsi="仿宋" w:eastAsia="仿宋"/>
          <w:color w:val="auto"/>
          <w:sz w:val="28"/>
          <w:szCs w:val="28"/>
          <w:lang w:bidi="zh-CN"/>
        </w:rPr>
        <w:t>：</w:t>
      </w:r>
      <w:r>
        <w:rPr>
          <w:rFonts w:hint="eastAsia" w:ascii="宋体" w:hAnsi="宋体" w:eastAsia="宋体" w:cs="宋体"/>
          <w:color w:val="auto"/>
          <w:sz w:val="28"/>
          <w:szCs w:val="28"/>
          <w:lang w:bidi="zh-CN"/>
        </w:rPr>
        <w:t>第i类</w:t>
      </w:r>
      <w:bookmarkStart w:id="118" w:name="_Hlk78209974"/>
      <w:r>
        <w:rPr>
          <w:rFonts w:hint="eastAsia" w:ascii="宋体" w:hAnsi="宋体" w:eastAsia="宋体" w:cs="宋体"/>
          <w:color w:val="auto"/>
          <w:sz w:val="28"/>
          <w:szCs w:val="28"/>
          <w:lang w:bidi="zh-CN"/>
        </w:rPr>
        <w:t>病种组合内病例的平均住院费用</w:t>
      </w:r>
    </w:p>
    <w:bookmarkEnd w:id="118"/>
    <w:p>
      <w:pPr>
        <w:spacing w:line="580" w:lineRule="exact"/>
        <w:ind w:firstLine="640"/>
        <w:jc w:val="left"/>
        <w:rPr>
          <w:rFonts w:hint="eastAsia" w:ascii="宋体" w:hAnsi="宋体" w:eastAsia="宋体" w:cs="宋体"/>
          <w:color w:val="auto"/>
          <w:sz w:val="28"/>
          <w:szCs w:val="28"/>
        </w:rPr>
      </w:pPr>
      <w:r>
        <w:rPr>
          <w:rFonts w:hint="eastAsia" w:ascii="宋体" w:hAnsi="宋体" w:eastAsia="宋体" w:cs="宋体"/>
          <w:color w:val="auto"/>
          <w:sz w:val="28"/>
          <w:szCs w:val="28"/>
          <w:lang w:bidi="zh-CN"/>
        </w:rPr>
        <w:t>经校正形成最终病种分值。</w:t>
      </w:r>
      <w:r>
        <w:rPr>
          <w:rFonts w:hint="eastAsia" w:ascii="宋体" w:hAnsi="宋体" w:eastAsia="宋体" w:cs="宋体"/>
          <w:color w:val="auto"/>
          <w:sz w:val="28"/>
          <w:szCs w:val="28"/>
        </w:rPr>
        <w:t>如，某病种组合经测算分值为1000，在三、二、民营、一级医院的住院病例数分别为a1、a2、a3、a4例，权重系数分别为b1、b2、b3、b4。</w:t>
      </w:r>
    </w:p>
    <w:p>
      <w:pPr>
        <w:spacing w:line="580" w:lineRule="exact"/>
        <w:ind w:firstLine="640"/>
        <w:jc w:val="left"/>
        <w:rPr>
          <w:rFonts w:hint="eastAsia" w:ascii="宋体" w:hAnsi="宋体" w:eastAsia="宋体" w:cs="宋体"/>
          <w:color w:val="auto"/>
          <w:sz w:val="28"/>
          <w:szCs w:val="28"/>
        </w:rPr>
      </w:pPr>
      <w:r>
        <w:rPr>
          <w:rFonts w:hint="eastAsia" w:ascii="宋体" w:hAnsi="宋体" w:eastAsia="宋体" w:cs="宋体"/>
          <w:color w:val="auto"/>
          <w:sz w:val="28"/>
          <w:szCs w:val="28"/>
        </w:rPr>
        <w:t>该病种最终分值为：</w:t>
      </w:r>
    </w:p>
    <w:p>
      <w:pPr>
        <w:spacing w:line="580" w:lineRule="exact"/>
        <w:ind w:firstLine="640"/>
        <w:jc w:val="left"/>
        <w:rPr>
          <w:rFonts w:hint="eastAsia" w:ascii="宋体" w:hAnsi="宋体" w:eastAsia="宋体" w:cs="宋体"/>
          <w:color w:val="auto"/>
          <w:sz w:val="28"/>
          <w:szCs w:val="28"/>
        </w:rPr>
      </w:pPr>
      <w:r>
        <w:rPr>
          <w:rFonts w:hint="eastAsia" w:ascii="宋体" w:hAnsi="宋体" w:eastAsia="宋体" w:cs="宋体"/>
          <w:color w:val="auto"/>
          <w:sz w:val="28"/>
          <w:szCs w:val="28"/>
        </w:rPr>
        <w:t>1000÷（a1*b1+a2*b2+a3*b3+a4*b4）/(a1+a2+a3+a4)。</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（二）偏差病例分值</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偏差病例分值根据该病例病种分值及住院费用偏差系数确定。病例医疗费用偏差系数（R1）等于该病例住院费用与该病种上年度同级别定点医疗机构次均住院费用的比值。当该比值&lt;0.5或者&gt;2时，该病例纳入费用偏差病例。其分值计算公式为：</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R1&lt;0.5时，偏差病例分值=R1×F</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R1&gt;2时，偏差病例分值=（R1－1）×F</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F=各病种分值</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（三）特殊病例分值单议</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对特殊情况严重偏离病种分值的病例，由医保经办机构与医疗机构以特例单议方式确定病种分值。</w:t>
      </w:r>
    </w:p>
    <w:p>
      <w:pPr>
        <w:snapToGrid w:val="0"/>
        <w:spacing w:line="560" w:lineRule="exact"/>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符合以下条件之一的病例，可申请特例单议</w:t>
      </w:r>
      <w:r>
        <w:rPr>
          <w:rFonts w:hint="eastAsia" w:ascii="宋体" w:hAnsi="宋体" w:eastAsia="宋体" w:cs="宋体"/>
          <w:color w:val="auto"/>
          <w:sz w:val="28"/>
          <w:szCs w:val="28"/>
          <w:lang w:eastAsia="zh-CN"/>
        </w:rPr>
        <w:t>：</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1.该病例住院天数大于该医疗机构当年度平均住院天数5倍以上；</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2.该病例实际医疗费用达到实际分值与年度病种点值的乘积3倍以上；</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定点医疗机构于次年1月底前，向所在辖区的医保经办机构提出按特殊病例结算的申请，申请病例数不超过各定点医疗机构当年度按病种分值付费人次的千分之一（申请病例数计算结果取整至个位，不足1例的按1例计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按照属地管理原则，医保经办机构组织专家评议，经确认合规的特殊病例不再纳入费用偏差病例计算，按以下方式计算分值：</w:t>
      </w:r>
    </w:p>
    <w:p>
      <w:pPr>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特殊病例分值=该病例实际住院费用÷</w:t>
      </w:r>
      <w:r>
        <w:rPr>
          <w:rFonts w:hint="eastAsia" w:ascii="宋体" w:hAnsi="宋体" w:eastAsia="宋体" w:cs="宋体"/>
          <w:color w:val="auto"/>
          <w:sz w:val="28"/>
          <w:szCs w:val="28"/>
          <w:lang w:bidi="zh-CN"/>
        </w:rPr>
        <w:t>全部病例平均住院费用</w:t>
      </w:r>
      <w:r>
        <w:rPr>
          <w:rFonts w:hint="eastAsia" w:ascii="宋体" w:hAnsi="宋体" w:eastAsia="宋体" w:cs="宋体"/>
          <w:color w:val="auto"/>
          <w:sz w:val="28"/>
          <w:szCs w:val="28"/>
        </w:rPr>
        <w:t>×1000。</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存在违规的特殊病例，对审查出的违规部分扣减后，按上述办法计算分值；其中审查出的违规部分费用，交监管稽核科室调查处理，核实无误依法处理并计入年度预清算扣减范围。</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（四）病种分值表</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市医保部门依据历史数据组织专家论证，编制形成病种分值表。年度病种分值表原则上不作调整，但在出现严重偏差的情况下，经专家论证后调整，用于年度清算。结合药品、耗材集中招标带量制度采购实施和新技术新项目、中医优势病种推广使用，经医保、医疗机构协商一致，病种分组、分值原则上每年调整1次</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年初发布，用于上年度住院医疗费用清算和本年度住院费用月预结算。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（五）特殊情形</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按规定应纳入DIP付费，但《病种分值表》未包含，未能入组的个别病例，月度预付暂不付费，年度清算时，核实编码和诊疗规范，据实赋分，一并纳入DIP清算。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七、权重系数</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权重系数分为基础系数和导向系数，清算年度内系数不作调整。</w:t>
      </w:r>
      <w:r>
        <w:rPr>
          <w:rFonts w:hint="eastAsia" w:ascii="宋体" w:hAnsi="宋体" w:eastAsia="宋体" w:cs="宋体"/>
          <w:color w:val="auto"/>
          <w:kern w:val="0"/>
          <w:sz w:val="28"/>
          <w:szCs w:val="28"/>
          <w:shd w:val="clear" w:color="auto" w:fill="FFFFFF"/>
          <w:lang w:bidi="ar"/>
        </w:rPr>
        <w:t>不同级别医疗机构</w:t>
      </w:r>
      <w:r>
        <w:rPr>
          <w:rFonts w:hint="eastAsia" w:ascii="宋体" w:hAnsi="宋体" w:eastAsia="宋体" w:cs="宋体"/>
          <w:color w:val="auto"/>
          <w:sz w:val="28"/>
          <w:szCs w:val="28"/>
        </w:rPr>
        <w:t>诊治基础病种，不受权重系数调节。</w:t>
      </w:r>
    </w:p>
    <w:p>
      <w:pPr>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（一）基础系数</w:t>
      </w:r>
    </w:p>
    <w:p>
      <w:pPr>
        <w:spacing w:line="560" w:lineRule="exact"/>
        <w:ind w:firstLine="560" w:firstLineChars="200"/>
        <w:rPr>
          <w:rFonts w:hint="eastAsia" w:ascii="宋体" w:hAnsi="宋体" w:eastAsia="宋体" w:cs="宋体"/>
          <w:color w:val="auto"/>
          <w:sz w:val="28"/>
          <w:szCs w:val="28"/>
        </w:rPr>
      </w:pPr>
      <w:bookmarkStart w:id="119" w:name="_Hlk81315756"/>
      <w:r>
        <w:rPr>
          <w:rFonts w:hint="eastAsia" w:ascii="宋体" w:hAnsi="宋体" w:eastAsia="宋体" w:cs="宋体"/>
          <w:color w:val="auto"/>
          <w:sz w:val="28"/>
          <w:szCs w:val="28"/>
        </w:rPr>
        <w:t>综合定点医疗机构执行医疗服务项目价格政策情况，根据不同级别医疗机构之间相同病种组合医疗费用比例关系，确定医疗机构基础系数。</w:t>
      </w:r>
      <w:bookmarkEnd w:id="119"/>
    </w:p>
    <w:p>
      <w:pPr>
        <w:spacing w:line="560" w:lineRule="exact"/>
        <w:ind w:firstLine="560" w:firstLineChars="200"/>
        <w:rPr>
          <w:rFonts w:hint="eastAsia" w:ascii="宋体" w:hAnsi="宋体" w:eastAsia="宋体" w:cs="宋体"/>
          <w:strike/>
          <w:color w:val="auto"/>
          <w:sz w:val="28"/>
          <w:szCs w:val="28"/>
        </w:rPr>
      </w:pPr>
      <w:r>
        <w:rPr>
          <w:rFonts w:hint="eastAsia" w:ascii="宋体" w:hAnsi="宋体" w:eastAsia="宋体" w:cs="宋体"/>
          <w:color w:val="auto"/>
          <w:sz w:val="28"/>
          <w:szCs w:val="28"/>
        </w:rPr>
        <w:t>以二级医疗机构为参考标准，确定基础系数为1；选取不同级别医疗机构共有病种组合，计算其平均住院费用，根据其他级别医疗机构与二级医疗机构共有病种组合平均住院费用的比值，依次确定三级医疗机构基础系数为1.17、其他二级医疗机构基础系数为0.87、一级医疗机构基础系数为0.47，即四级比值关系为1.17：1：0.87：0.47。</w:t>
      </w:r>
      <w:bookmarkStart w:id="120" w:name="_Hlk72917842"/>
      <w:r>
        <w:rPr>
          <w:rFonts w:hint="eastAsia" w:ascii="宋体" w:hAnsi="宋体" w:eastAsia="宋体" w:cs="宋体"/>
          <w:color w:val="auto"/>
          <w:sz w:val="28"/>
          <w:szCs w:val="28"/>
        </w:rPr>
        <w:t>公立中医医院和民营中医专科医院基础系数上调0.01。</w:t>
      </w:r>
    </w:p>
    <w:p>
      <w:pPr>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lang w:bidi="zh-TW"/>
        </w:rPr>
        <w:t>（二）导向系数</w:t>
      </w:r>
    </w:p>
    <w:p>
      <w:pPr>
        <w:snapToGrid w:val="0"/>
        <w:spacing w:line="560" w:lineRule="exact"/>
        <w:ind w:firstLine="560" w:firstLineChars="200"/>
        <w:rPr>
          <w:rFonts w:hint="eastAsia" w:ascii="宋体" w:hAnsi="宋体" w:eastAsia="宋体" w:cs="宋体"/>
          <w:color w:val="auto"/>
          <w:sz w:val="28"/>
          <w:szCs w:val="28"/>
          <w:lang w:val="zh-TW" w:bidi="zh-TW"/>
        </w:rPr>
      </w:pPr>
      <w:r>
        <w:rPr>
          <w:rFonts w:hint="eastAsia" w:ascii="宋体" w:hAnsi="宋体" w:eastAsia="宋体" w:cs="宋体"/>
          <w:color w:val="auto"/>
          <w:sz w:val="28"/>
          <w:szCs w:val="28"/>
          <w:lang w:bidi="zh-TW"/>
        </w:rPr>
        <w:t>1.</w:t>
      </w:r>
      <w:r>
        <w:rPr>
          <w:rFonts w:hint="eastAsia" w:ascii="宋体" w:hAnsi="宋体" w:eastAsia="宋体" w:cs="宋体"/>
          <w:color w:val="auto"/>
          <w:sz w:val="28"/>
          <w:szCs w:val="28"/>
          <w:lang w:val="zh-TW" w:bidi="zh-TW"/>
        </w:rPr>
        <w:t>病例组合指数</w:t>
      </w:r>
      <w:r>
        <w:rPr>
          <w:rFonts w:hint="eastAsia" w:ascii="宋体" w:hAnsi="宋体" w:eastAsia="宋体" w:cs="宋体"/>
          <w:color w:val="auto"/>
          <w:sz w:val="28"/>
          <w:szCs w:val="28"/>
          <w:lang w:bidi="zh-TW"/>
        </w:rPr>
        <w:t>(CMI)</w:t>
      </w:r>
      <w:r>
        <w:rPr>
          <w:rFonts w:hint="eastAsia" w:ascii="宋体" w:hAnsi="宋体" w:eastAsia="宋体" w:cs="宋体"/>
          <w:color w:val="auto"/>
          <w:sz w:val="28"/>
          <w:szCs w:val="28"/>
          <w:lang w:val="zh-TW" w:bidi="zh-TW"/>
        </w:rPr>
        <w:t>。加成用于反映定点医疗机构收治病例的难易程度。针对各定点医疗机构的医疗水平差异及收治病人疾病严重程度、并发症、年龄等情况，进行评价校正，引导分级诊疗，加快应用科技创新成果，推进医疗机构高质量发展。</w:t>
      </w:r>
    </w:p>
    <w:p>
      <w:pPr>
        <w:snapToGrid w:val="0"/>
        <w:spacing w:line="560" w:lineRule="exact"/>
        <w:ind w:firstLine="560" w:firstLineChars="200"/>
        <w:rPr>
          <w:rFonts w:hint="eastAsia" w:ascii="宋体" w:hAnsi="宋体" w:eastAsia="宋体" w:cs="宋体"/>
          <w:color w:val="auto"/>
          <w:sz w:val="28"/>
          <w:szCs w:val="28"/>
          <w:lang w:val="zh-TW" w:bidi="zh-TW"/>
        </w:rPr>
      </w:pPr>
      <w:r>
        <w:rPr>
          <w:rFonts w:hint="eastAsia" w:ascii="宋体" w:hAnsi="宋体" w:eastAsia="宋体" w:cs="宋体"/>
          <w:color w:val="auto"/>
          <w:sz w:val="28"/>
          <w:szCs w:val="28"/>
          <w:lang w:val="zh-TW" w:bidi="zh-TW"/>
        </w:rPr>
        <w:t>定点医疗机构</w:t>
      </w:r>
      <w:r>
        <w:rPr>
          <w:rFonts w:hint="eastAsia" w:ascii="宋体" w:hAnsi="宋体" w:eastAsia="宋体" w:cs="宋体"/>
          <w:color w:val="auto"/>
          <w:sz w:val="28"/>
          <w:szCs w:val="28"/>
          <w:lang w:bidi="en-US"/>
        </w:rPr>
        <w:t>CMI=</w:t>
      </w:r>
      <w:r>
        <w:rPr>
          <w:rFonts w:hint="eastAsia" w:ascii="宋体" w:hAnsi="宋体" w:eastAsia="宋体" w:cs="宋体"/>
          <w:color w:val="auto"/>
          <w:sz w:val="28"/>
          <w:szCs w:val="28"/>
          <w:lang w:val="zh-TW" w:bidi="zh-TW"/>
        </w:rPr>
        <w:t>该医疗机构分值付费病例总分值</w:t>
      </w:r>
      <w:r>
        <w:rPr>
          <w:rFonts w:hint="eastAsia" w:ascii="宋体" w:hAnsi="宋体" w:eastAsia="宋体" w:cs="宋体"/>
          <w:color w:val="auto"/>
          <w:sz w:val="28"/>
          <w:szCs w:val="28"/>
          <w:lang w:bidi="en-US"/>
        </w:rPr>
        <w:t>÷</w:t>
      </w:r>
      <w:r>
        <w:rPr>
          <w:rFonts w:hint="eastAsia" w:ascii="宋体" w:hAnsi="宋体" w:eastAsia="宋体" w:cs="宋体"/>
          <w:color w:val="auto"/>
          <w:sz w:val="28"/>
          <w:szCs w:val="28"/>
          <w:lang w:val="zh-TW" w:bidi="zh-TW"/>
        </w:rPr>
        <w:t>该医疗机构分值付费病例总例数÷1000</w:t>
      </w:r>
    </w:p>
    <w:p>
      <w:pPr>
        <w:snapToGrid w:val="0"/>
        <w:spacing w:line="560" w:lineRule="exact"/>
        <w:ind w:firstLine="560" w:firstLineChars="200"/>
        <w:rPr>
          <w:rFonts w:hint="eastAsia" w:ascii="宋体" w:hAnsi="宋体" w:eastAsia="宋体" w:cs="宋体"/>
          <w:color w:val="auto"/>
          <w:sz w:val="28"/>
          <w:szCs w:val="28"/>
          <w:lang w:val="zh-TW" w:bidi="zh-TW"/>
        </w:rPr>
      </w:pPr>
      <w:r>
        <w:rPr>
          <w:rFonts w:hint="eastAsia" w:ascii="宋体" w:hAnsi="宋体" w:eastAsia="宋体" w:cs="宋体"/>
          <w:color w:val="auto"/>
          <w:sz w:val="28"/>
          <w:szCs w:val="28"/>
          <w:lang w:val="zh-TW" w:bidi="zh-TW"/>
        </w:rPr>
        <w:t xml:space="preserve">CMI加成指数=定点医疗机构CMI÷同级别定点医疗机构CMI均值 </w:t>
      </w:r>
    </w:p>
    <w:p>
      <w:pPr>
        <w:snapToGrid w:val="0"/>
        <w:spacing w:line="560" w:lineRule="exact"/>
        <w:ind w:firstLine="560" w:firstLineChars="200"/>
        <w:rPr>
          <w:rFonts w:hint="eastAsia" w:ascii="宋体" w:hAnsi="宋体" w:eastAsia="宋体" w:cs="宋体"/>
          <w:color w:val="auto"/>
          <w:sz w:val="28"/>
          <w:szCs w:val="28"/>
          <w:lang w:val="zh-TW" w:bidi="zh-TW"/>
        </w:rPr>
      </w:pPr>
      <w:r>
        <w:rPr>
          <w:rFonts w:hint="eastAsia" w:ascii="宋体" w:hAnsi="宋体" w:eastAsia="宋体" w:cs="宋体"/>
          <w:color w:val="auto"/>
          <w:sz w:val="28"/>
          <w:szCs w:val="28"/>
          <w:lang w:val="zh-TW" w:bidi="zh-TW"/>
        </w:rPr>
        <w:t>CMI</w:t>
      </w:r>
      <w:bookmarkStart w:id="121" w:name="_Hlk72934718"/>
      <w:r>
        <w:rPr>
          <w:rFonts w:hint="eastAsia" w:ascii="宋体" w:hAnsi="宋体" w:eastAsia="宋体" w:cs="宋体"/>
          <w:color w:val="auto"/>
          <w:sz w:val="28"/>
          <w:szCs w:val="28"/>
          <w:lang w:val="zh-TW" w:bidi="zh-TW"/>
        </w:rPr>
        <w:t>加成指数≧</w:t>
      </w:r>
      <w:bookmarkEnd w:id="121"/>
      <w:r>
        <w:rPr>
          <w:rFonts w:hint="eastAsia" w:ascii="宋体" w:hAnsi="宋体" w:eastAsia="宋体" w:cs="宋体"/>
          <w:color w:val="auto"/>
          <w:sz w:val="28"/>
          <w:szCs w:val="28"/>
          <w:lang w:val="zh-TW" w:bidi="zh-TW"/>
        </w:rPr>
        <w:t>1时,CMI值每增加0.1,依次多加成0.01。最高加成0.1；</w:t>
      </w:r>
    </w:p>
    <w:p>
      <w:pPr>
        <w:snapToGrid w:val="0"/>
        <w:spacing w:line="560" w:lineRule="exact"/>
        <w:ind w:firstLine="560" w:firstLineChars="200"/>
        <w:jc w:val="left"/>
        <w:rPr>
          <w:rFonts w:hint="eastAsia" w:ascii="宋体" w:hAnsi="宋体" w:eastAsia="宋体" w:cs="宋体"/>
          <w:color w:val="auto"/>
          <w:sz w:val="28"/>
          <w:szCs w:val="28"/>
          <w:lang w:bidi="zh-TW"/>
        </w:rPr>
      </w:pPr>
      <w:r>
        <w:rPr>
          <w:rFonts w:hint="eastAsia" w:ascii="宋体" w:hAnsi="宋体" w:eastAsia="宋体" w:cs="宋体"/>
          <w:color w:val="auto"/>
          <w:sz w:val="28"/>
          <w:szCs w:val="28"/>
        </w:rPr>
        <w:t>2.</w:t>
      </w:r>
      <w:r>
        <w:rPr>
          <w:rFonts w:hint="eastAsia" w:ascii="宋体" w:hAnsi="宋体" w:eastAsia="宋体" w:cs="宋体"/>
          <w:color w:val="auto"/>
          <w:sz w:val="28"/>
          <w:szCs w:val="28"/>
          <w:lang w:val="zh-TW"/>
        </w:rPr>
        <w:t>信用等级加成系数。制定《滨州市定点医疗机构年度绩效考核办法（试行)》，组织年度绩效考核，依据</w:t>
      </w:r>
      <w:r>
        <w:rPr>
          <w:rFonts w:hint="eastAsia" w:ascii="宋体" w:hAnsi="宋体" w:eastAsia="宋体" w:cs="宋体"/>
          <w:color w:val="auto"/>
          <w:sz w:val="28"/>
          <w:szCs w:val="28"/>
        </w:rPr>
        <w:t>考核结果确定考核系数和医保信用等级，</w:t>
      </w:r>
      <w:r>
        <w:rPr>
          <w:rFonts w:hint="eastAsia" w:ascii="宋体" w:hAnsi="宋体" w:eastAsia="宋体" w:cs="宋体"/>
          <w:color w:val="auto"/>
          <w:sz w:val="28"/>
          <w:szCs w:val="28"/>
          <w:lang w:val="zh-TW"/>
        </w:rPr>
        <w:t>信</w:t>
      </w:r>
      <w:r>
        <w:rPr>
          <w:rFonts w:hint="eastAsia" w:ascii="宋体" w:hAnsi="宋体" w:eastAsia="宋体" w:cs="宋体"/>
          <w:color w:val="auto"/>
          <w:sz w:val="28"/>
          <w:szCs w:val="28"/>
          <w:lang w:val="zh-TW" w:bidi="zh-TW"/>
        </w:rPr>
        <w:t>用等级为A级的，加成0.01。</w:t>
      </w:r>
      <w:r>
        <w:rPr>
          <w:rFonts w:hint="eastAsia" w:ascii="宋体" w:hAnsi="宋体" w:eastAsia="宋体" w:cs="宋体"/>
          <w:color w:val="auto"/>
          <w:sz w:val="28"/>
          <w:szCs w:val="28"/>
          <w:lang w:bidi="zh-TW"/>
        </w:rPr>
        <w:t>考核结果（考核系数）在年度清算时合理使用。</w:t>
      </w:r>
    </w:p>
    <w:p>
      <w:pPr>
        <w:snapToGrid w:val="0"/>
        <w:spacing w:line="560" w:lineRule="exact"/>
        <w:ind w:firstLine="560" w:firstLineChars="200"/>
        <w:rPr>
          <w:rFonts w:hint="eastAsia" w:ascii="宋体" w:hAnsi="宋体" w:eastAsia="宋体" w:cs="宋体"/>
          <w:color w:val="auto"/>
          <w:sz w:val="28"/>
          <w:szCs w:val="28"/>
          <w:lang w:val="zh-TW" w:bidi="zh-TW"/>
        </w:rPr>
      </w:pPr>
      <w:r>
        <w:rPr>
          <w:rFonts w:hint="eastAsia" w:ascii="宋体" w:hAnsi="宋体" w:eastAsia="宋体" w:cs="宋体"/>
          <w:color w:val="auto"/>
          <w:sz w:val="28"/>
          <w:szCs w:val="28"/>
          <w:lang w:val="zh-TW" w:bidi="zh-TW"/>
        </w:rPr>
        <w:t>确定医疗机构信用等级加成系数时，相关资质等以被清算年度1月1日为准。</w:t>
      </w:r>
    </w:p>
    <w:p>
      <w:pPr>
        <w:snapToGrid w:val="0"/>
        <w:spacing w:line="560" w:lineRule="exact"/>
        <w:ind w:firstLine="560" w:firstLineChars="200"/>
        <w:rPr>
          <w:rFonts w:hint="eastAsia" w:ascii="宋体" w:hAnsi="宋体" w:eastAsia="宋体" w:cs="宋体"/>
          <w:color w:val="auto"/>
          <w:sz w:val="28"/>
          <w:szCs w:val="28"/>
          <w:lang w:val="zh-TW" w:bidi="zh-TW"/>
        </w:rPr>
      </w:pPr>
      <w:r>
        <w:rPr>
          <w:rFonts w:hint="eastAsia" w:ascii="宋体" w:hAnsi="宋体" w:eastAsia="宋体" w:cs="宋体"/>
          <w:color w:val="auto"/>
          <w:sz w:val="28"/>
          <w:szCs w:val="28"/>
          <w:lang w:val="zh-TW" w:bidi="zh-TW"/>
        </w:rPr>
        <w:t>新增定点医疗机构、当年度暂停协议或因违规被解除协议的定点医疗机构，按基础系数执行，导向系数不予加成。</w:t>
      </w:r>
    </w:p>
    <w:bookmarkEnd w:id="120"/>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八、医保基金结算</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rPr>
        <w:t>职工医保、居民医保分开核算、管理、结算。</w:t>
      </w:r>
      <w:r>
        <w:rPr>
          <w:rFonts w:hint="eastAsia" w:ascii="宋体" w:hAnsi="宋体" w:eastAsia="宋体" w:cs="宋体"/>
          <w:color w:val="auto"/>
          <w:sz w:val="28"/>
          <w:szCs w:val="28"/>
          <w:lang w:bidi="zh-TW"/>
        </w:rPr>
        <w:t>医保经办机构与定点医疗机构按照“年初预拨、月度预付、年度清算”的方式结算医保基金。</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lang w:bidi="zh-TW"/>
        </w:rPr>
        <w:t>（一）年初预拨</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lang w:bidi="zh-TW"/>
        </w:rPr>
        <w:t>年度首月，医保经办机构向财政部门申请年初预拨资金。年初预拨付总金额根据本年度市内住院统筹基金预算总额的1/12测算。各定点医疗机构预付金按上年度全市市内住院基本医保报销支出占比确定。财政部门根据预算进度，结合医保经办机构提供的预拨付方案拨付。医保经办机构及时将预拨款拨付至各相关定点医疗机构，年度清算后列入相关支出科目。</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lang w:bidi="zh-TW"/>
        </w:rPr>
        <w:t>预付金年度末收回，用于抵扣11月份结算资金，多退少补。</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lang w:bidi="zh-TW"/>
        </w:rPr>
        <w:t>（二）月度预付</w:t>
      </w:r>
    </w:p>
    <w:p>
      <w:pPr>
        <w:autoSpaceDE w:val="0"/>
        <w:autoSpaceDN w:val="0"/>
        <w:adjustRightInd w:val="0"/>
        <w:spacing w:line="560" w:lineRule="exact"/>
        <w:ind w:firstLine="560" w:firstLineChars="200"/>
        <w:jc w:val="left"/>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每年2月份开始，医保经办机构同定点医疗机构按月预付上月份应由医保基金支付的医疗费用。具体办法为：</w:t>
      </w:r>
    </w:p>
    <w:p>
      <w:pPr>
        <w:autoSpaceDE w:val="0"/>
        <w:autoSpaceDN w:val="0"/>
        <w:adjustRightInd w:val="0"/>
        <w:spacing w:line="560" w:lineRule="exact"/>
        <w:ind w:firstLine="560" w:firstLineChars="200"/>
        <w:jc w:val="left"/>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1、2月份结算1月份住院费用。2月份预结算总额按年度住院基金预算总额的1/12确定，据实确定DIP。</w:t>
      </w:r>
    </w:p>
    <w:p>
      <w:pPr>
        <w:autoSpaceDE w:val="0"/>
        <w:autoSpaceDN w:val="0"/>
        <w:adjustRightInd w:val="0"/>
        <w:spacing w:line="560" w:lineRule="exact"/>
        <w:ind w:firstLine="560" w:firstLineChars="200"/>
        <w:jc w:val="left"/>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2、结算规则。医保基金先行结算按服务单元付费、按病种定额结算、按项目据实结算等住院费用，剩余资金按DIP付费规则与定点医疗机构预结算住院医疗费用。</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kern w:val="0"/>
          <w:sz w:val="28"/>
          <w:szCs w:val="28"/>
        </w:rPr>
        <w:t>3、DIP预结算。定点医疗机构实时上传所发生的住院病案数据，每月7日前完成上月份病案数据传送。医保经办机构每月15日前完成上月份发生病案数据的DIP入组和分值、点值测算工作，20日前形成预结算数据，25日前市、县两级完成与定点医疗机构的预结算。</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lang w:bidi="zh-TW"/>
        </w:rPr>
        <w:t>（三）年度预清算</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rPr>
        <w:t>年预清算是指医保经办机构与定点医疗机构核对数据及正式清算前进行的数据预处理，包括 DIP各项指标的计算、完成特例单议认定、扣减违规金额审核认定、对定点医疗机构的绩效考核及信用等级认定情况等5个基本步骤。</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年预清算的主要指标包括病种分值、结算点值、各定点医疗机构年度总分值、各定点医疗机构基于疾病严重程度等的校正费用总额、各定点医疗机构基于违规行为等的扣减费用总额、各定点医疗机构年度统筹基金预拨付、预结算总额、各定点医疗机构年度统筹基金清算支付金额等。</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1.确定住院统筹基金年度支出总额</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（1）居民医保住院统筹基金年度支出总额=居民医保年度筹资总额-风险金（年度筹资总额的5%）-门诊慢性病支出-门诊统筹支出-大病保险支出-集采药品结余留用支出-其他刚性支出。</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（2）职工医保住院统筹基金年度支出总额=上年度</w:t>
      </w:r>
      <w:bookmarkStart w:id="122" w:name="_Hlk81376449"/>
      <w:r>
        <w:rPr>
          <w:rFonts w:hint="eastAsia" w:ascii="宋体" w:hAnsi="宋体" w:eastAsia="宋体" w:cs="宋体"/>
          <w:color w:val="auto"/>
          <w:sz w:val="28"/>
          <w:szCs w:val="28"/>
        </w:rPr>
        <w:t>参保职工住院</w:t>
      </w:r>
      <w:bookmarkEnd w:id="122"/>
      <w:r>
        <w:rPr>
          <w:rFonts w:hint="eastAsia" w:ascii="宋体" w:hAnsi="宋体" w:eastAsia="宋体" w:cs="宋体"/>
          <w:color w:val="auto"/>
          <w:sz w:val="28"/>
          <w:szCs w:val="28"/>
        </w:rPr>
        <w:t>实际报销支出总额×（1+参保职工住院实际报销支出近三年平均增长率）</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因重大政策调整、突发重大疫情或其他特殊情形发生需要调整住院统筹基金年度支出总额的，按规定流程办理，并由市医保中心据实提出调整意见，报医保、财政部门审定后执行。</w:t>
      </w:r>
    </w:p>
    <w:p>
      <w:pPr>
        <w:snapToGrid w:val="0"/>
        <w:spacing w:line="560" w:lineRule="exact"/>
        <w:ind w:firstLine="560" w:firstLineChars="200"/>
        <w:rPr>
          <w:rFonts w:hint="eastAsia" w:ascii="宋体" w:hAnsi="宋体" w:eastAsia="宋体" w:cs="宋体"/>
          <w:color w:val="auto"/>
          <w:sz w:val="28"/>
          <w:szCs w:val="28"/>
        </w:rPr>
      </w:pPr>
      <w:bookmarkStart w:id="123" w:name="_Hlk80636886"/>
      <w:r>
        <w:rPr>
          <w:rFonts w:hint="eastAsia" w:ascii="宋体" w:hAnsi="宋体" w:eastAsia="宋体" w:cs="宋体"/>
          <w:color w:val="auto"/>
          <w:sz w:val="28"/>
          <w:szCs w:val="28"/>
        </w:rPr>
        <w:t>2.确定DIP付费年度住院支出总额</w:t>
      </w:r>
      <w:bookmarkEnd w:id="123"/>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DIP付费年度住院支出总额=住院统筹基金年度支出总额-异地联网结算支出（国家和省平台结算支出）-手工零星报销支出-非DIP付费病种住院报销支出。</w:t>
      </w:r>
    </w:p>
    <w:p>
      <w:pPr>
        <w:snapToGrid w:val="0"/>
        <w:spacing w:line="560" w:lineRule="exact"/>
        <w:ind w:firstLine="560" w:firstLineChars="200"/>
        <w:rPr>
          <w:rFonts w:hint="eastAsia" w:ascii="宋体" w:hAnsi="宋体" w:eastAsia="宋体" w:cs="宋体"/>
          <w:color w:val="auto"/>
          <w:sz w:val="28"/>
          <w:szCs w:val="28"/>
        </w:rPr>
      </w:pPr>
      <w:bookmarkStart w:id="124" w:name="_Hlk81204652"/>
      <w:r>
        <w:rPr>
          <w:rFonts w:hint="eastAsia" w:ascii="宋体" w:hAnsi="宋体" w:eastAsia="宋体" w:cs="宋体"/>
          <w:color w:val="auto"/>
          <w:sz w:val="28"/>
          <w:szCs w:val="28"/>
        </w:rPr>
        <w:t>3.确定分值付费调节金</w:t>
      </w:r>
      <w:bookmarkEnd w:id="124"/>
      <w:r>
        <w:rPr>
          <w:rFonts w:hint="eastAsia" w:ascii="宋体" w:hAnsi="宋体" w:eastAsia="宋体" w:cs="宋体"/>
          <w:color w:val="auto"/>
          <w:sz w:val="28"/>
          <w:szCs w:val="28"/>
        </w:rPr>
        <w:t>总额</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立按病种分值付费调节金（简称调节金），用于年度清算时对定点医疗机构的合理超支分担及结余部分留用。调节金原则上按DIP付费年度住院支出总额的5%预算，并根据实际运行情况进行调节，不足部分由风险金补足，结余部分纳入DIP年度住院支出。</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4.确定DIP可分配资金</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DIP可分配资金= DIP付费年度住院支出总额-年度调节金</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5.确定定点医疗机构年度分值和全市病种年度点值</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（1）定点医疗机构年度分值=（非偏差核心病种与综合病种病例累计分值+偏差病例累计分值+单独赋分病例分值）×权重系数+基础病种病例累计分值+特殊病例累计分值。</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（2）全市病种年度点值=（DIP年度可分配资金/</w:t>
      </w:r>
      <w:r>
        <w:rPr>
          <w:rFonts w:hint="eastAsia" w:ascii="宋体" w:hAnsi="宋体" w:eastAsia="宋体" w:cs="宋体"/>
          <w:color w:val="auto"/>
          <w:sz w:val="28"/>
          <w:szCs w:val="28"/>
          <w:lang w:val="en"/>
        </w:rPr>
        <w:t xml:space="preserve"> DIP结算病例</w:t>
      </w:r>
      <w:r>
        <w:rPr>
          <w:rFonts w:hint="eastAsia" w:ascii="宋体" w:hAnsi="宋体" w:eastAsia="宋体" w:cs="宋体"/>
          <w:color w:val="auto"/>
          <w:sz w:val="28"/>
          <w:szCs w:val="28"/>
        </w:rPr>
        <w:t>年度实际报销比）/定点医疗机构年度分值总和。当年度病种点值计算结果四舍五入至小数点后六位。</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
        </w:rPr>
        <w:t>DIP结算病例</w:t>
      </w:r>
      <w:r>
        <w:rPr>
          <w:rFonts w:hint="eastAsia" w:ascii="宋体" w:hAnsi="宋体" w:eastAsia="宋体" w:cs="宋体"/>
          <w:color w:val="auto"/>
          <w:sz w:val="28"/>
          <w:szCs w:val="28"/>
        </w:rPr>
        <w:t>年度实际报销比=</w:t>
      </w:r>
      <w:r>
        <w:rPr>
          <w:rFonts w:hint="eastAsia" w:ascii="宋体" w:hAnsi="宋体" w:eastAsia="宋体" w:cs="宋体"/>
          <w:color w:val="auto"/>
          <w:sz w:val="28"/>
          <w:szCs w:val="28"/>
          <w:lang w:val="en"/>
        </w:rPr>
        <w:t>DIP结算病例</w:t>
      </w:r>
      <w:r>
        <w:rPr>
          <w:rFonts w:hint="eastAsia" w:ascii="宋体" w:hAnsi="宋体" w:eastAsia="宋体" w:cs="宋体"/>
          <w:color w:val="auto"/>
          <w:sz w:val="28"/>
          <w:szCs w:val="28"/>
        </w:rPr>
        <w:t>年度实际报销费用</w:t>
      </w:r>
      <w:r>
        <w:rPr>
          <w:rFonts w:hint="eastAsia" w:ascii="宋体" w:hAnsi="宋体" w:eastAsia="宋体" w:cs="宋体"/>
          <w:color w:val="auto"/>
          <w:sz w:val="28"/>
          <w:szCs w:val="28"/>
          <w:lang w:val="en"/>
        </w:rPr>
        <w:t>/ DIP结算病例</w:t>
      </w:r>
      <w:r>
        <w:rPr>
          <w:rFonts w:hint="eastAsia" w:ascii="宋体" w:hAnsi="宋体" w:eastAsia="宋体" w:cs="宋体"/>
          <w:color w:val="auto"/>
          <w:sz w:val="28"/>
          <w:szCs w:val="28"/>
        </w:rPr>
        <w:t>年度医疗总费用。</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6.确定年度预清算额</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预清算额=应支付总额×95%+应支付总额×5%×定点医疗机构考核系数</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其中： 应支付总额=该定点医疗机构年度分值×全市病种点值×</w:t>
      </w:r>
      <w:bookmarkStart w:id="125" w:name="_Hlk80639623"/>
      <w:bookmarkStart w:id="126" w:name="_Hlk79937800"/>
      <w:r>
        <w:rPr>
          <w:rFonts w:hint="eastAsia" w:ascii="宋体" w:hAnsi="宋体" w:eastAsia="宋体" w:cs="宋体"/>
          <w:color w:val="auto"/>
          <w:sz w:val="28"/>
          <w:szCs w:val="28"/>
        </w:rPr>
        <w:t>该医疗机构</w:t>
      </w:r>
      <w:bookmarkEnd w:id="125"/>
      <w:bookmarkEnd w:id="126"/>
      <w:r>
        <w:rPr>
          <w:rFonts w:hint="eastAsia" w:ascii="宋体" w:hAnsi="宋体" w:eastAsia="宋体" w:cs="宋体"/>
          <w:color w:val="auto"/>
          <w:sz w:val="28"/>
          <w:szCs w:val="28"/>
          <w:lang w:val="en"/>
        </w:rPr>
        <w:t>DIP结算病例</w:t>
      </w:r>
      <w:r>
        <w:rPr>
          <w:rFonts w:hint="eastAsia" w:ascii="宋体" w:hAnsi="宋体" w:eastAsia="宋体" w:cs="宋体"/>
          <w:color w:val="auto"/>
          <w:sz w:val="28"/>
          <w:szCs w:val="28"/>
        </w:rPr>
        <w:t>年度实际报销比-审核扣减金额</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定点医疗机构考核系数，根据考核结果确定。   </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7.确定定点医疗机构支付系数</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zh-CN"/>
        </w:rPr>
        <w:t>医疗机构纳入按病种分值付费病例合规总费用（以下简称合规总费用）</w:t>
      </w:r>
      <w:r>
        <w:rPr>
          <w:rFonts w:hint="eastAsia" w:ascii="宋体" w:hAnsi="宋体" w:eastAsia="宋体" w:cs="宋体"/>
          <w:color w:val="auto"/>
          <w:sz w:val="28"/>
          <w:szCs w:val="28"/>
        </w:rPr>
        <w:t>=该医疗机构纳入按分值付费病例年度报销额-审核扣减金额</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定点医疗机构按病种分值付费支付系数（以下简称支付系数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=合规总费用/预清算额</w:t>
      </w:r>
      <w:r>
        <w:rPr>
          <w:rFonts w:hint="eastAsia" w:ascii="宋体" w:hAnsi="宋体" w:eastAsia="宋体" w:cs="宋体"/>
          <w:color w:val="auto"/>
          <w:sz w:val="28"/>
          <w:szCs w:val="28"/>
          <w:lang w:val="zh-CN"/>
        </w:rPr>
        <w:t>×</w:t>
      </w:r>
      <w:r>
        <w:rPr>
          <w:rFonts w:hint="eastAsia" w:ascii="宋体" w:hAnsi="宋体" w:eastAsia="宋体" w:cs="宋体"/>
          <w:color w:val="auto"/>
          <w:sz w:val="28"/>
          <w:szCs w:val="28"/>
        </w:rPr>
        <w:t>100</w:t>
      </w:r>
      <w:r>
        <w:rPr>
          <w:rFonts w:hint="eastAsia" w:ascii="宋体" w:hAnsi="宋体" w:eastAsia="宋体" w:cs="宋体"/>
          <w:color w:val="auto"/>
          <w:sz w:val="28"/>
          <w:szCs w:val="28"/>
          <w:lang w:val="zh-CN"/>
        </w:rPr>
        <w:t>%</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8、确定年度清算额</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DIP付费年度住院支出总额与预清算总额之间差额部分作为平衡资金，以以全市平均支付系数为基点值，对比各定点医疗机构支付系数，计算平衡点数，分配平衡资金，确定年度清算额。具体办法为：</w:t>
      </w:r>
    </w:p>
    <w:p>
      <w:pPr>
        <w:numPr>
          <w:ilvl w:val="0"/>
          <w:numId w:val="46"/>
        </w:num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一级定点医疗机构支付系数≤0.4倍基点值，其他定点医疗机构≤0.6倍基点值的，清算额=预清算额-月度预付累计费用。</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（2）定点医疗机构支付系数介于0.6倍基点值（一级定点医疗机构支付系数0.4倍基点值）和基点值（含）之间、基点值和1.2倍基点值之间的，分别计算平衡点数，分配平衡资金。平衡点数计算方法为：</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①定点医疗机构支付系数介于0.6基点值（一级定点医疗机构支付系数0.4基点值）</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基点值（含）之间：</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平衡点数=定点医疗机构年度分值×（基点值-定点医疗机构支付系数）/基点值。</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②定点医疗机构支付系数在基点值—1.2倍基点值（含）之间：</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平衡点数=定点医疗机构年度分值×（定点医疗机构支付系数-基点值）/基点值×50%。</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③定点医疗机构支付系数在1.2倍基点值以上的:</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平衡点数=定点医疗机构年度分值×(1.2倍基点值-基点值）/基点值×50%=定点医疗机构年度分值×0.2×50%=定点医疗机构年度分值×0.1。</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（3）分配平衡资金</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累加全市所有定点医疗机构平衡点数，计算平衡点值，分配平衡资金。</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平衡点值=平衡资金÷全市平衡点数总和</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定点医疗机构平衡资金=定点医疗机构平衡点数×平衡点值</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（4）定点医疗机构年度清算额=预清算额+平衡资金-月度预付累计费用</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年度内因违反基本医疗保险有关规定，被暂停服务、解除协议等处理的定点医疗机构，不再分配平衡资金。</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lang w:bidi="zh-TW"/>
        </w:rPr>
        <w:t>（四）年度清算</w:t>
      </w:r>
    </w:p>
    <w:p>
      <w:pPr>
        <w:snapToGrid w:val="0"/>
        <w:spacing w:line="560" w:lineRule="exact"/>
        <w:ind w:firstLine="560" w:firstLineChars="200"/>
        <w:rPr>
          <w:rFonts w:hint="eastAsia" w:ascii="宋体" w:hAnsi="宋体" w:eastAsia="宋体" w:cs="宋体"/>
          <w:color w:val="auto"/>
          <w:sz w:val="28"/>
          <w:szCs w:val="28"/>
          <w:lang w:bidi="zh-TW"/>
        </w:rPr>
      </w:pPr>
      <w:r>
        <w:rPr>
          <w:rFonts w:hint="eastAsia" w:ascii="宋体" w:hAnsi="宋体" w:eastAsia="宋体" w:cs="宋体"/>
          <w:color w:val="auto"/>
          <w:sz w:val="28"/>
          <w:szCs w:val="28"/>
        </w:rPr>
        <w:t>年度清算是指医保经办机构与定点医疗机构实施数据核对，确定最终清算结果，完成年度结算。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清算年度为每年1月1日至12月31日，每一病例以费用数据、结算清单数据上传完成时间为准。次年4月底前完成清算。</w:t>
      </w:r>
    </w:p>
    <w:p>
      <w:pPr>
        <w:numPr>
          <w:ilvl w:val="0"/>
          <w:numId w:val="47"/>
        </w:numPr>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衔接紧密型医共体</w:t>
      </w:r>
    </w:p>
    <w:p>
      <w:pPr>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DIP付费改革与紧密型医共体建设协同推进。对已实施居民医保基金按人头付费的紧密型医共体试点县（市、区），年度清算时，按照全市统一的医保付费办法和标准，对医共体内参保居民在医共体内、外发生的住院、门诊、门诊慢特病医疗费用，按相应的付费方式和支付标准分别向医共体内、外的医疗机构付费。紧密型医共体按人头付费年度支出预算总额与实际结算额之间的差额部分，由县级医保经办机构和医共体按照“结余留用、超支不补”的原则进行年度清算。紧密型医共体按人头付费试点区可申请二次计算点值，用于医共体成员单位内部合理清算。</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十、考核与监督管理</w:t>
      </w:r>
    </w:p>
    <w:p>
      <w:pPr>
        <w:snapToGrid w:val="0"/>
        <w:spacing w:line="560" w:lineRule="exact"/>
        <w:ind w:firstLine="560" w:firstLineChars="200"/>
        <w:rPr>
          <w:rFonts w:hint="eastAsia" w:ascii="宋体" w:hAnsi="宋体" w:eastAsia="宋体" w:cs="宋体"/>
          <w:color w:val="auto"/>
          <w:sz w:val="28"/>
          <w:szCs w:val="28"/>
        </w:rPr>
      </w:pPr>
      <w:bookmarkStart w:id="127" w:name="_Hlk76634666"/>
      <w:r>
        <w:rPr>
          <w:rFonts w:hint="eastAsia" w:ascii="宋体" w:hAnsi="宋体" w:eastAsia="宋体" w:cs="宋体"/>
          <w:color w:val="auto"/>
          <w:sz w:val="28"/>
          <w:szCs w:val="28"/>
        </w:rPr>
        <w:t>1.定点医疗机构</w:t>
      </w:r>
      <w:bookmarkEnd w:id="127"/>
      <w:r>
        <w:rPr>
          <w:rFonts w:hint="eastAsia" w:ascii="宋体" w:hAnsi="宋体" w:eastAsia="宋体" w:cs="宋体"/>
          <w:color w:val="auto"/>
          <w:sz w:val="28"/>
          <w:szCs w:val="28"/>
        </w:rPr>
        <w:t>应按规定做好按病种分值付费管理工作，规范诊疗行为，保证医疗服务质量，引导患者合理就医。</w:t>
      </w:r>
      <w:bookmarkStart w:id="128" w:name="_Hlk76569333"/>
      <w:r>
        <w:rPr>
          <w:rFonts w:hint="eastAsia" w:ascii="宋体" w:hAnsi="宋体" w:eastAsia="宋体" w:cs="宋体"/>
          <w:color w:val="auto"/>
          <w:sz w:val="28"/>
          <w:szCs w:val="28"/>
        </w:rPr>
        <w:t>应严格控制参保人员个人自费比例，不得诱导或主动要求参保人员住院期间到门诊或院外购药、检查等。对于高值耗材及目录外药品、诊疗项目的名称、数量等详细情况应明确告知参保人员并经其签字同意后方可使用。</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定点医疗机构按要求开展病案首页和疾病编码的应用工作，按照病案管理和本办法的要求做好病案首页填报工作。定点医疗机构有诊断升级、高套分值或分解住院、挂名住院、降低入院标准等行为的，当次住院费用视为违规费用，不纳入结算，并按基本医疗保险有关规定处理。</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利用大数据所发现的医疗机构违规行为特征，建立违规行为监管辅助目录，以病案质量指数、二次入院、低标入院、超长住院以及死亡风险等指标引导医疗机构规范医疗行为，降低医疗机构组别高套、诱导住院、风险选择、分解住院的可能性，提高医疗质量，按照《国家医疗保障按病种分值付费（DIP）技术规范》中违规行为监管辅助目录执行。</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4.不断完善定点医疗机构考核评价机制，考核结果与病种分值年度清算挂钩，引导定点医疗机构以合理诊疗为核心，控制不合理医疗费用。</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5.医保经办机构应加大对定点医疗机构协议执行情况的稽核和基本医疗保险基金使用情况的检查。对定点医疗机构违反服务协议约定的，应追究违约责任；涉嫌违法的，要及时向医疗保障行政部门报告。</w:t>
      </w:r>
    </w:p>
    <w:p>
      <w:pPr>
        <w:snapToGrid w:val="0"/>
        <w:spacing w:line="560" w:lineRule="exact"/>
        <w:ind w:firstLine="560" w:firstLineChars="200"/>
        <w:rPr>
          <w:rFonts w:hint="eastAsia" w:ascii="宋体" w:hAnsi="宋体" w:eastAsia="宋体" w:cs="宋体"/>
          <w:color w:val="auto"/>
          <w:sz w:val="28"/>
          <w:szCs w:val="28"/>
        </w:rPr>
      </w:pPr>
      <w:bookmarkStart w:id="129" w:name="_Hlk76633190"/>
      <w:r>
        <w:rPr>
          <w:rFonts w:hint="eastAsia" w:ascii="宋体" w:hAnsi="宋体" w:eastAsia="宋体" w:cs="宋体"/>
          <w:color w:val="auto"/>
          <w:sz w:val="28"/>
          <w:szCs w:val="28"/>
        </w:rPr>
        <w:t>6.医保部门</w:t>
      </w:r>
      <w:bookmarkEnd w:id="129"/>
      <w:r>
        <w:rPr>
          <w:rFonts w:hint="eastAsia" w:ascii="宋体" w:hAnsi="宋体" w:eastAsia="宋体" w:cs="宋体"/>
          <w:color w:val="auto"/>
          <w:sz w:val="28"/>
          <w:szCs w:val="28"/>
        </w:rPr>
        <w:t>加强对定点医疗机构遵守法律、法规及有关规定情况的医保监督检查。定点医疗机构违反法律、法规及有关规定的，行为发生地的医保行政部门应依法予以查处；属卫健、市场监管等部门职责管理范围的，及时移交处置；涉嫌构成犯罪的，移送司法机关依法处置。</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卫健部门加强各定点医疗机构病案系统管理及病案管理培训工作，定期对疾病诊断的规范和疾病编码工作进行指导和检查。加强对医疗费用增长率等情况的监测。加强对定点医疗机构及医务人员执业行为的监督管理，及时查处违法违规执业行为，并及时向医保部门通报，强化联合惩戒机制。</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财政部门加强医保基金的预算管理，加强对医疗保险经办机构预算执行、费用结算的监督。</w:t>
      </w:r>
    </w:p>
    <w:bookmarkEnd w:id="128"/>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十一、其他</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1.参保人员出院结算时，住院医疗费用按照我市医保政策执行。</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2.本办法由滨州市医疗保障局负责解释，并适时修定。</w:t>
      </w:r>
    </w:p>
    <w:p>
      <w:pPr>
        <w:snapToGrid w:val="0"/>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3.本办法适用于2024年度月预付费和年度清算。  </w:t>
      </w:r>
    </w:p>
    <w:p>
      <w:pPr>
        <w:spacing w:line="560" w:lineRule="exact"/>
        <w:jc w:val="center"/>
        <w:rPr>
          <w:rFonts w:hint="eastAsia" w:ascii="方正小标宋简体" w:hAnsi="方正小标宋简体" w:eastAsia="方正小标宋简体" w:cs="方正小标宋简体"/>
          <w:color w:val="auto"/>
          <w:sz w:val="44"/>
          <w:szCs w:val="44"/>
          <w:lang w:val="en-US" w:eastAsia="zh-CN"/>
        </w:rPr>
      </w:pPr>
    </w:p>
    <w:p>
      <w:pPr>
        <w:spacing w:line="560" w:lineRule="exact"/>
        <w:jc w:val="left"/>
        <w:rPr>
          <w:rFonts w:hint="eastAsia" w:asciiTheme="minorEastAsia" w:hAnsiTheme="minorEastAsia" w:eastAsiaTheme="minorEastAsia" w:cstheme="minorEastAsia"/>
          <w:b/>
          <w:bCs/>
          <w:color w:val="auto"/>
          <w:sz w:val="36"/>
          <w:szCs w:val="36"/>
          <w:lang w:val="en-US" w:eastAsia="zh-CN"/>
        </w:rPr>
      </w:pPr>
      <w:r>
        <w:rPr>
          <w:rFonts w:hint="eastAsia" w:asciiTheme="minorEastAsia" w:hAnsiTheme="minorEastAsia" w:eastAsiaTheme="minorEastAsia" w:cstheme="minorEastAsia"/>
          <w:b/>
          <w:bCs/>
          <w:color w:val="auto"/>
          <w:sz w:val="36"/>
          <w:szCs w:val="36"/>
          <w:lang w:val="en-US" w:eastAsia="zh-CN"/>
        </w:rPr>
        <w:t>二、管理与调整办法</w:t>
      </w:r>
    </w:p>
    <w:p>
      <w:pPr>
        <w:spacing w:line="560" w:lineRule="exact"/>
        <w:jc w:val="center"/>
        <w:rPr>
          <w:rFonts w:hint="eastAsia" w:asciiTheme="minorEastAsia" w:hAnsiTheme="minorEastAsia" w:eastAsiaTheme="minorEastAsia" w:cstheme="minorEastAsia"/>
          <w:color w:val="auto"/>
          <w:sz w:val="44"/>
          <w:szCs w:val="44"/>
          <w:lang w:val="en-US" w:eastAsia="zh-CN"/>
        </w:rPr>
      </w:pPr>
    </w:p>
    <w:p>
      <w:pPr>
        <w:spacing w:line="540" w:lineRule="exact"/>
        <w:jc w:val="center"/>
        <w:rPr>
          <w:rFonts w:hint="eastAsia" w:asciiTheme="minorEastAsia" w:hAnsiTheme="minorEastAsia" w:eastAsiaTheme="minorEastAsia" w:cstheme="minorEastAsia"/>
          <w:color w:val="FF0000"/>
          <w:sz w:val="44"/>
          <w:szCs w:val="44"/>
          <w:lang w:val="en-US" w:eastAsia="zh-CN"/>
        </w:rPr>
      </w:pPr>
      <w:r>
        <w:rPr>
          <w:rFonts w:hint="eastAsia" w:asciiTheme="minorEastAsia" w:hAnsiTheme="minorEastAsia" w:eastAsiaTheme="minorEastAsia" w:cstheme="minorEastAsia"/>
          <w:color w:val="FF0000"/>
          <w:sz w:val="44"/>
          <w:szCs w:val="44"/>
          <w:lang w:val="en-US" w:eastAsia="zh-CN"/>
        </w:rPr>
        <w:t>滨州市医疗保障局</w:t>
      </w:r>
    </w:p>
    <w:p>
      <w:pPr>
        <w:keepNext w:val="0"/>
        <w:keepLines w:val="0"/>
        <w:pageBreakBefore w:val="0"/>
        <w:widowControl w:val="0"/>
        <w:kinsoku/>
        <w:wordWrap/>
        <w:overflowPunct/>
        <w:topLinePunct w:val="0"/>
        <w:autoSpaceDE/>
        <w:autoSpaceDN/>
        <w:bidi w:val="0"/>
        <w:adjustRightInd/>
        <w:snapToGrid/>
        <w:spacing w:line="360" w:lineRule="auto"/>
        <w:ind w:firstLine="620"/>
        <w:jc w:val="center"/>
        <w:textAlignment w:val="auto"/>
        <w:rPr>
          <w:rFonts w:hint="eastAsia" w:asciiTheme="minorEastAsia" w:hAnsiTheme="minorEastAsia" w:eastAsiaTheme="minorEastAsia" w:cstheme="minorEastAsia"/>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18"/>
        <w:jc w:val="center"/>
        <w:textAlignment w:val="auto"/>
        <w:rPr>
          <w:rFonts w:hint="eastAsia" w:asciiTheme="minorEastAsia" w:hAnsiTheme="minorEastAsia" w:eastAsiaTheme="minorEastAsia" w:cstheme="minorEastAsia"/>
          <w:color w:val="000000"/>
          <w:sz w:val="44"/>
          <w:szCs w:val="44"/>
          <w:lang w:val="en-US" w:eastAsia="zh-CN"/>
        </w:rPr>
      </w:pPr>
      <w:r>
        <w:rPr>
          <w:rFonts w:hint="eastAsia" w:asciiTheme="minorEastAsia" w:hAnsiTheme="minorEastAsia" w:eastAsiaTheme="minorEastAsia" w:cstheme="minorEastAsia"/>
          <w:color w:val="000000"/>
          <w:sz w:val="44"/>
          <w:szCs w:val="44"/>
          <w:lang w:val="en-US" w:eastAsia="zh-CN"/>
        </w:rPr>
        <w:t>滨州市按病种分值付费（DIP)核心要素</w:t>
      </w:r>
    </w:p>
    <w:p>
      <w:pPr>
        <w:keepNext w:val="0"/>
        <w:keepLines w:val="0"/>
        <w:pageBreakBefore w:val="0"/>
        <w:widowControl w:val="0"/>
        <w:kinsoku/>
        <w:wordWrap/>
        <w:overflowPunct/>
        <w:topLinePunct w:val="0"/>
        <w:autoSpaceDE/>
        <w:autoSpaceDN/>
        <w:bidi w:val="0"/>
        <w:adjustRightInd/>
        <w:snapToGrid/>
        <w:spacing w:line="360" w:lineRule="auto"/>
        <w:ind w:firstLine="618"/>
        <w:jc w:val="center"/>
        <w:textAlignment w:val="auto"/>
        <w:rPr>
          <w:rFonts w:hint="eastAsia" w:asciiTheme="minorEastAsia" w:hAnsiTheme="minorEastAsia" w:eastAsiaTheme="minorEastAsia" w:cstheme="minorEastAsia"/>
          <w:color w:val="000000"/>
          <w:sz w:val="44"/>
          <w:szCs w:val="44"/>
          <w:lang w:val="en-US" w:eastAsia="zh-CN"/>
        </w:rPr>
      </w:pPr>
      <w:r>
        <w:rPr>
          <w:rFonts w:hint="eastAsia" w:asciiTheme="minorEastAsia" w:hAnsiTheme="minorEastAsia" w:eastAsiaTheme="minorEastAsia" w:cstheme="minorEastAsia"/>
          <w:color w:val="000000"/>
          <w:sz w:val="44"/>
          <w:szCs w:val="44"/>
          <w:lang w:val="en-US" w:eastAsia="zh-CN"/>
        </w:rPr>
        <w:t>管理与调整办法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按病种分值付费（DIP）是利用患者住院历史病案大数据，发掘“疾病诊断＋治疗方式”的共性特征，对病案数据进行客观分类，在全市范围的全样本病例数据中形成每一个疾病与治疗方式组合的标化定位，客观反映疾病严重程度、治疗复杂状态、资源消耗水平与临床行为规范，应用于医保支付和基金监管，指导医院实施精细化管理。2020年11月滨州市被确定为国家级DIP改革试点城市，2021年10月份正式进入实际付费。为稳步建立科学合理的DIP付费机制，按照国家医保局《DRG／DIP支付方式改革三年行动计划》，围绕DIP病组、分值和定点医疗机构等级系数三个核心要素，成立DIP技术专家组，建立与定点医疗机构协商谈判和核心要素动态调整机制。</w:t>
      </w:r>
    </w:p>
    <w:p>
      <w:pPr>
        <w:keepNext w:val="0"/>
        <w:keepLines w:val="0"/>
        <w:pageBreakBefore w:val="0"/>
        <w:widowControl w:val="0"/>
        <w:kinsoku/>
        <w:wordWrap/>
        <w:overflowPunct/>
        <w:topLinePunct w:val="0"/>
        <w:autoSpaceDE/>
        <w:autoSpaceDN/>
        <w:bidi w:val="0"/>
        <w:adjustRightInd/>
        <w:snapToGrid/>
        <w:spacing w:line="560" w:lineRule="exact"/>
        <w:ind w:firstLine="62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一、病种分组形成与分值测算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抽取全市所有定点医疗机构前3年病案数据，经病案质控后，按照《国家医疗保障按病种分值付费（DIP）技术规范》确定的DIP病种组合原则，确定核心病种和综合病种，按照1：2：7的比例测算每一个病种组合的次均住院费用，与所有住院历史数据次均住院费用进行比较，形成每一个病种组合与次均住院费用的比值，放大1000倍后作为病种组合的</w:t>
      </w:r>
      <w:r>
        <w:rPr>
          <w:rFonts w:hint="eastAsia" w:ascii="宋体" w:hAnsi="宋体" w:eastAsia="宋体" w:cs="宋体"/>
          <w:sz w:val="28"/>
          <w:szCs w:val="28"/>
        </w:rPr>
        <w:pict>
          <v:shape id="文本框 44" o:spid="_x0000_s1052" o:spt="202" type="#_x0000_t202" style="position:absolute;left:0pt;margin-left:355pt;margin-top:781pt;height:2pt;width:134pt;mso-position-horizontal-relative:page;mso-position-vertical-relative:page;mso-wrap-distance-bottom:0pt;mso-wrap-distance-left:9pt;mso-wrap-distance-right:9pt;mso-wrap-distance-top:0pt;z-index:251668480;mso-width-relative:page;mso-height-relative:page;" filled="f" stroked="f" coordsize="21600,21600" o:gfxdata="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a9XETZAAAADQEA&#10;AA8AAAAAAAAAAQAgAAAAIgAAAGRycy9kb3ducmV2LnhtbFBLAQIUABQAAAAIAIdO4kAygK3M4AEA&#10;AK4DAAAOAAAAAAAAAAEAIAAAACgBAABkcnMvZTJvRG9jLnhtbFBLBQYAAAAABgAGAFkBAAB6BQAA&#10;AAA=&#10;">
            <v:path/>
            <v:fill on="f" focussize="0,0"/>
            <v:stroke on="f" weight="0.5pt"/>
            <v:imagedata o:title=""/>
            <o:lock v:ext="edit" aspectratio="f"/>
            <v:textbox inset="2pt,0mm,2pt,0mm">
              <w:txbxContent>
                <w:p>
                  <w:pPr>
                    <w:ind w:firstLine="0"/>
                    <w:jc w:val="both"/>
                  </w:pPr>
                </w:p>
              </w:txbxContent>
            </v:textbox>
            <w10:wrap type="square"/>
          </v:shape>
        </w:pict>
      </w:r>
      <w:r>
        <w:rPr>
          <w:rFonts w:hint="eastAsia" w:ascii="宋体" w:hAnsi="宋体" w:eastAsia="宋体" w:cs="宋体"/>
          <w:sz w:val="28"/>
          <w:szCs w:val="28"/>
        </w:rPr>
        <w:pict>
          <v:shape id="文本框 40" o:spid="_x0000_s1051" o:spt="202" type="#_x0000_t202" style="position:absolute;left:0pt;margin-left:266pt;margin-top:782pt;height:2pt;width:70pt;mso-position-horizontal-relative:page;mso-position-vertical-relative:page;mso-wrap-distance-bottom:0pt;mso-wrap-distance-left:9pt;mso-wrap-distance-right:9pt;mso-wrap-distance-top:0pt;z-index:251669504;mso-width-relative:page;mso-height-relative:page;" filled="f" stroked="f" coordsize="21600,21600" o:gfxdata="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bsLY9kAAAANAQAA&#10;DwAAAAAAAAABACAAAAAiAAAAZHJzL2Rvd25yZXYueG1sUEsBAhQAFAAAAAgAh07iQHnLe+bfAQAA&#10;rgMAAA4AAAAAAAAAAQAgAAAAKAEAAGRycy9lMm9Eb2MueG1sUEsFBgAAAAAGAAYAWQEAAHkFAAAA&#10;AA==&#10;">
            <v:path/>
            <v:fill on="f" focussize="0,0"/>
            <v:stroke on="f" weight="0.5pt"/>
            <v:imagedata o:title=""/>
            <o:lock v:ext="edit" aspectratio="f"/>
            <v:textbox inset="2pt,0mm,2pt,0mm">
              <w:txbxContent>
                <w:p>
                  <w:pPr>
                    <w:ind w:firstLine="0"/>
                    <w:jc w:val="both"/>
                  </w:pPr>
                </w:p>
              </w:txbxContent>
            </v:textbox>
            <w10:wrap type="square"/>
          </v:shape>
        </w:pict>
      </w:r>
      <w:r>
        <w:rPr>
          <w:rFonts w:hint="eastAsia" w:ascii="宋体" w:hAnsi="宋体" w:eastAsia="宋体" w:cs="宋体"/>
          <w:color w:val="000000"/>
          <w:sz w:val="28"/>
          <w:szCs w:val="28"/>
          <w:lang w:eastAsia="zh-CN"/>
        </w:rPr>
        <w:t>。</w:t>
      </w:r>
    </w:p>
    <w:p>
      <w:pPr>
        <w:keepNext w:val="0"/>
        <w:keepLines w:val="0"/>
        <w:pageBreakBefore w:val="0"/>
        <w:widowControl w:val="0"/>
        <w:numPr>
          <w:ilvl w:val="0"/>
          <w:numId w:val="48"/>
        </w:numPr>
        <w:kinsoku/>
        <w:wordWrap/>
        <w:overflowPunct/>
        <w:topLinePunct w:val="0"/>
        <w:autoSpaceDE/>
        <w:autoSpaceDN/>
        <w:bidi w:val="0"/>
        <w:adjustRightInd/>
        <w:snapToGrid/>
        <w:spacing w:line="560" w:lineRule="exact"/>
        <w:ind w:left="420" w:leftChars="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病种分组与分值的校正</w:t>
      </w:r>
    </w:p>
    <w:p>
      <w:pPr>
        <w:spacing w:line="540" w:lineRule="exact"/>
        <w:ind w:firstLine="560" w:firstLineChars="200"/>
        <w:jc w:val="both"/>
        <w:rPr>
          <w:rFonts w:hint="eastAsia" w:ascii="宋体" w:hAnsi="宋体" w:eastAsia="宋体" w:cs="宋体"/>
          <w:sz w:val="28"/>
          <w:szCs w:val="28"/>
        </w:rPr>
      </w:pPr>
      <w:r>
        <w:rPr>
          <w:rFonts w:hint="eastAsia" w:ascii="宋体" w:hAnsi="宋体" w:eastAsia="宋体" w:cs="宋体"/>
          <w:sz w:val="28"/>
          <w:szCs w:val="28"/>
        </w:rPr>
        <w:pict>
          <v:shape id="文本框 41" o:spid="_x0000_s1053" o:spt="202" type="#_x0000_t202" style="position:absolute;left:0pt;flip:x y;margin-left:183pt;margin-top:781.75pt;height:6pt;width:127.7pt;mso-position-horizontal-relative:page;mso-position-vertical-relative:page;mso-wrap-distance-bottom:0pt;mso-wrap-distance-left:9pt;mso-wrap-distance-right:9pt;mso-wrap-distance-top:0pt;z-index:251670528;mso-width-relative:page;mso-height-relative:page;" filled="f" stroked="f" coordsize="21600,21600" o:gfxdata="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DYvs&#10;2gAAAA0BAAAPAAAAAAAAAAEAIAAAACIAAABkcnMvZG93bnJldi54bWxQSwECFAAUAAAACACHTuJA&#10;OWUu0eYBAADAAwAADgAAAAAAAAABACAAAAApAQAAZHJzL2Uyb0RvYy54bWxQSwUGAAAAAAYABgBZ&#10;AQAAgQUAAAAA&#10;">
            <v:path/>
            <v:fill on="f" focussize="0,0"/>
            <v:stroke on="f" weight="0.5pt"/>
            <v:imagedata o:title=""/>
            <o:lock v:ext="edit" aspectratio="f"/>
            <v:textbox inset="2pt,0mm,2pt,0mm">
              <w:txbxContent>
                <w:p>
                  <w:pPr>
                    <w:ind w:firstLine="0"/>
                    <w:jc w:val="both"/>
                  </w:pPr>
                </w:p>
              </w:txbxContent>
            </v:textbox>
            <w10:wrap type="square"/>
          </v:shape>
        </w:pict>
      </w:r>
      <w:r>
        <w:rPr>
          <w:rFonts w:hint="eastAsia" w:ascii="宋体" w:hAnsi="宋体" w:eastAsia="宋体" w:cs="宋体"/>
          <w:color w:val="000000"/>
          <w:sz w:val="28"/>
          <w:szCs w:val="28"/>
        </w:rPr>
        <w:t>病种分组与分值的校正按照“三下三上”的办法确定。一是DIP办公室将病种分组和病种分值发全市各定点医疗机构进行第一次征求意见，由定点医疗机构组织临床、病案和财务等专家库成员进行合理性审核，形成修订意见报DIP办公室汇总整理，完成首次校正。二是DIP办公室将抽次校正的结果第二次下发各定点医疗机构进行第二次征求意见，经专家修订后由DIP办公室汇总整理，完成第二次校正。三是DIP办公室将第二次校正结果下发各定点医疗机构征求意见，完成第三次校正。经“三下三上”校正后的病种分组与分值作为DIP付费核心要素，在全市发布实施。</w:t>
      </w:r>
    </w:p>
    <w:p>
      <w:pPr>
        <w:spacing w:line="560" w:lineRule="exact"/>
        <w:ind w:firstLine="720"/>
        <w:jc w:val="both"/>
        <w:rPr>
          <w:rFonts w:hint="eastAsia" w:ascii="宋体" w:hAnsi="宋体" w:eastAsia="宋体" w:cs="宋体"/>
          <w:sz w:val="28"/>
          <w:szCs w:val="28"/>
        </w:rPr>
      </w:pPr>
      <w:r>
        <w:rPr>
          <w:rFonts w:hint="eastAsia" w:ascii="宋体" w:hAnsi="宋体" w:eastAsia="宋体" w:cs="宋体"/>
          <w:color w:val="000000"/>
          <w:sz w:val="28"/>
          <w:szCs w:val="28"/>
        </w:rPr>
        <w:t>三、病种分组与分值的动态调整</w:t>
      </w:r>
    </w:p>
    <w:p>
      <w:pPr>
        <w:spacing w:line="540" w:lineRule="exact"/>
        <w:ind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鉴于医疗服务价格尚未理顺、医疗服务行为仍存在一定程度扭曲，以既往住院费用为基础计算的病种分值存在不同程度的偏差。随着DIP付费改革和药品、医用耗材集中招标带量采购政策的落地实施，病种组合医疗费用将发生较大变动，病种分值应实时动态调整。</w:t>
      </w:r>
    </w:p>
    <w:p>
      <w:pPr>
        <w:numPr>
          <w:ilvl w:val="0"/>
          <w:numId w:val="49"/>
        </w:numPr>
        <w:spacing w:line="540" w:lineRule="exact"/>
        <w:ind w:firstLine="720"/>
        <w:jc w:val="both"/>
        <w:rPr>
          <w:rFonts w:hint="eastAsia" w:ascii="宋体" w:hAnsi="宋体" w:eastAsia="宋体" w:cs="宋体"/>
          <w:color w:val="000000"/>
          <w:sz w:val="28"/>
          <w:szCs w:val="28"/>
        </w:rPr>
      </w:pPr>
      <w:r>
        <w:rPr>
          <w:rFonts w:hint="eastAsia" w:ascii="宋体" w:hAnsi="宋体" w:eastAsia="宋体" w:cs="宋体"/>
          <w:color w:val="000000"/>
          <w:sz w:val="28"/>
          <w:szCs w:val="28"/>
        </w:rPr>
        <w:t>病种分组与分值的年度调整。原则上每年11月份调整一次，作为下年度与定点医疗机构按病种分值结算的核心要素。具体调整办法与“三下三上”病种分组与分值的校正流程一致。</w:t>
      </w:r>
    </w:p>
    <w:p>
      <w:pPr>
        <w:numPr>
          <w:ilvl w:val="0"/>
          <w:numId w:val="0"/>
        </w:numPr>
        <w:spacing w:line="540" w:lineRule="exact"/>
        <w:ind w:firstLine="560" w:firstLineChars="200"/>
        <w:jc w:val="both"/>
        <w:rPr>
          <w:rFonts w:hint="eastAsia" w:ascii="宋体" w:hAnsi="宋体" w:eastAsia="宋体" w:cs="宋体"/>
          <w:sz w:val="28"/>
          <w:szCs w:val="28"/>
        </w:rPr>
      </w:pPr>
      <w:r>
        <w:rPr>
          <w:rFonts w:hint="eastAsia" w:ascii="宋体" w:hAnsi="宋体" w:eastAsia="宋体" w:cs="宋体"/>
          <w:color w:val="000000"/>
          <w:sz w:val="28"/>
          <w:szCs w:val="28"/>
        </w:rPr>
        <w:t>（二）病种分组与分值的实时调整。在日常医保基金审核结算工作中，如发现病种分值发生严重偏差的，由审核人员或定点医疗机构提出分值修订需求，DIP办公室组织专家进行论证，确需调整病种分值的，实时做出调整，确保DIP付费科学合理。</w:t>
      </w:r>
    </w:p>
    <w:p>
      <w:pPr>
        <w:spacing w:line="540" w:lineRule="exact"/>
        <w:ind w:firstLine="760"/>
        <w:jc w:val="both"/>
        <w:rPr>
          <w:rFonts w:hint="eastAsia" w:ascii="宋体" w:hAnsi="宋体" w:eastAsia="宋体" w:cs="宋体"/>
          <w:sz w:val="28"/>
          <w:szCs w:val="28"/>
        </w:rPr>
      </w:pPr>
      <w:r>
        <w:rPr>
          <w:rFonts w:hint="eastAsia" w:ascii="宋体" w:hAnsi="宋体" w:eastAsia="宋体" w:cs="宋体"/>
          <w:color w:val="000000"/>
          <w:sz w:val="28"/>
          <w:szCs w:val="28"/>
        </w:rPr>
        <w:t>（三）DIP入组规则调整。DIP办公室、审核结算等相关科室定期实施清算清单质量完成性、住院病例上传及时性、病案主要诊断准确性和诊疗行为规范性等审核，同时将相关指标定期发各定点医疗机构进行核实和整改。医保经办机构与定点医疗机构定期对住院病例入组情况进行监测，发现病例入组出现明显偏差的，及时召开医学、病案、医保、信息等方面的专家论证会，完善病种入组规则，提高DIP结算精确度。</w:t>
      </w:r>
    </w:p>
    <w:p>
      <w:pPr>
        <w:spacing w:line="540" w:lineRule="exact"/>
        <w:ind w:firstLine="660"/>
        <w:jc w:val="both"/>
        <w:rPr>
          <w:rFonts w:hint="eastAsia" w:ascii="宋体" w:hAnsi="宋体" w:eastAsia="宋体" w:cs="宋体"/>
          <w:sz w:val="28"/>
          <w:szCs w:val="28"/>
        </w:rPr>
      </w:pPr>
      <w:r>
        <w:rPr>
          <w:rFonts w:hint="eastAsia" w:ascii="宋体" w:hAnsi="宋体" w:eastAsia="宋体" w:cs="宋体"/>
          <w:color w:val="000000"/>
          <w:sz w:val="28"/>
          <w:szCs w:val="28"/>
        </w:rPr>
        <w:t>四、定点医疗机构基础系数管理与调整</w:t>
      </w:r>
    </w:p>
    <w:p>
      <w:pPr>
        <w:keepNext w:val="0"/>
        <w:keepLines w:val="0"/>
        <w:pageBreakBefore w:val="0"/>
        <w:widowControl w:val="0"/>
        <w:kinsoku/>
        <w:wordWrap/>
        <w:overflowPunct/>
        <w:topLinePunct w:val="0"/>
        <w:autoSpaceDE/>
        <w:autoSpaceDN/>
        <w:bidi w:val="0"/>
        <w:adjustRightInd/>
        <w:snapToGrid/>
        <w:spacing w:after="1100" w:line="580" w:lineRule="exact"/>
        <w:ind w:firstLine="641"/>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为体现不同等级医疗机构之间医务人员的技术劳务价值以及不同的运营成本。等级系数代表了定点医疗机构的医疗能力和水平。原则上等级系</w:t>
      </w:r>
      <w:r>
        <w:drawing>
          <wp:anchor distT="0" distB="0" distL="114300" distR="114300" simplePos="0" relativeHeight="251666432" behindDoc="1" locked="0" layoutInCell="1" allowOverlap="1">
            <wp:simplePos x="0" y="0"/>
            <wp:positionH relativeFrom="page">
              <wp:posOffset>4124960</wp:posOffset>
            </wp:positionH>
            <wp:positionV relativeFrom="page">
              <wp:posOffset>2003425</wp:posOffset>
            </wp:positionV>
            <wp:extent cx="1485900" cy="1480820"/>
            <wp:effectExtent l="0" t="0" r="0" b="5080"/>
            <wp:wrapNone/>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0"/>
                    <a:stretch>
                      <a:fillRect/>
                    </a:stretch>
                  </pic:blipFill>
                  <pic:spPr>
                    <a:xfrm>
                      <a:off x="0" y="0"/>
                      <a:ext cx="1485900" cy="1480820"/>
                    </a:xfrm>
                    <a:prstGeom prst="rect">
                      <a:avLst/>
                    </a:prstGeom>
                    <a:noFill/>
                    <a:ln>
                      <a:noFill/>
                    </a:ln>
                  </pic:spPr>
                </pic:pic>
              </a:graphicData>
            </a:graphic>
          </wp:anchor>
        </w:drawing>
      </w:r>
      <w:r>
        <w:rPr>
          <w:rFonts w:hint="eastAsia" w:ascii="宋体" w:hAnsi="宋体" w:eastAsia="宋体" w:cs="宋体"/>
          <w:color w:val="000000"/>
          <w:sz w:val="28"/>
          <w:szCs w:val="28"/>
        </w:rPr>
        <w:t>数一旦确定，无特殊原因不作调整。但在医院等级、医疗能力和国家和省医保政策明确要求的情况下，经组织各定点医疗机构论证，达成一致意见的情况下，可做合理调整。</w:t>
      </w:r>
    </w:p>
    <w:p>
      <w:pPr>
        <w:spacing w:line="500" w:lineRule="exact"/>
        <w:ind w:firstLine="5160"/>
        <w:jc w:val="both"/>
        <w:rPr>
          <w:color w:val="000000"/>
          <w:sz w:val="36"/>
        </w:rPr>
      </w:pPr>
      <w:r>
        <w:rPr>
          <w:color w:val="000000"/>
          <w:sz w:val="36"/>
        </w:rPr>
        <w:t>滨州市医疗保障局</w:t>
      </w:r>
    </w:p>
    <w:p>
      <w:pPr>
        <w:spacing w:line="500" w:lineRule="exact"/>
        <w:ind w:firstLine="5320" w:firstLineChars="1900"/>
        <w:jc w:val="both"/>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2022年4月27日</w:t>
      </w:r>
    </w:p>
    <w:p>
      <w:pPr>
        <w:keepNext w:val="0"/>
        <w:keepLines w:val="0"/>
        <w:pageBreakBefore w:val="0"/>
        <w:widowControl w:val="0"/>
        <w:kinsoku/>
        <w:wordWrap/>
        <w:overflowPunct/>
        <w:topLinePunct w:val="0"/>
        <w:autoSpaceDE/>
        <w:autoSpaceDN/>
        <w:bidi w:val="0"/>
        <w:adjustRightInd/>
        <w:snapToGrid/>
        <w:spacing w:line="1000" w:lineRule="exact"/>
        <w:jc w:val="left"/>
        <w:textAlignment w:val="auto"/>
        <w:rPr>
          <w:rFonts w:hint="eastAsia" w:asciiTheme="minorEastAsia" w:hAnsiTheme="minorEastAsia" w:eastAsiaTheme="minorEastAsia" w:cstheme="minorEastAsia"/>
          <w:b/>
          <w:bCs/>
          <w:color w:val="auto"/>
          <w:sz w:val="36"/>
          <w:szCs w:val="36"/>
          <w:lang w:val="en-US" w:eastAsia="zh-CN"/>
        </w:rPr>
      </w:pPr>
      <w:r>
        <w:rPr>
          <w:rFonts w:hint="eastAsia" w:asciiTheme="minorEastAsia" w:hAnsiTheme="minorEastAsia" w:eastAsiaTheme="minorEastAsia" w:cstheme="minorEastAsia"/>
          <w:b/>
          <w:bCs/>
          <w:color w:val="auto"/>
          <w:sz w:val="36"/>
          <w:szCs w:val="36"/>
          <w:lang w:val="en-US" w:eastAsia="zh-CN"/>
        </w:rPr>
        <w:t>三、技术评价和争议处理暂行办法</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Theme="minorEastAsia" w:hAnsiTheme="minorEastAsia" w:eastAsiaTheme="minorEastAsia" w:cstheme="minorEastAsia"/>
          <w:color w:val="FF0000"/>
          <w:sz w:val="44"/>
          <w:szCs w:val="44"/>
          <w:lang w:val="en-US" w:eastAsia="zh-CN"/>
        </w:rPr>
      </w:pPr>
      <w:r>
        <w:rPr>
          <w:rFonts w:hint="eastAsia" w:asciiTheme="minorEastAsia" w:hAnsiTheme="minorEastAsia" w:eastAsiaTheme="minorEastAsia" w:cstheme="minorEastAsia"/>
          <w:color w:val="FF0000"/>
          <w:sz w:val="44"/>
          <w:szCs w:val="44"/>
          <w:lang w:val="en-US" w:eastAsia="zh-CN"/>
        </w:rPr>
        <w:t>滨州市医疗保障局</w:t>
      </w:r>
    </w:p>
    <w:p>
      <w:pPr>
        <w:keepNext w:val="0"/>
        <w:keepLines w:val="0"/>
        <w:pageBreakBefore w:val="0"/>
        <w:widowControl w:val="0"/>
        <w:kinsoku/>
        <w:wordWrap/>
        <w:overflowPunct/>
        <w:topLinePunct w:val="0"/>
        <w:autoSpaceDE/>
        <w:autoSpaceDN/>
        <w:bidi w:val="0"/>
        <w:adjustRightInd/>
        <w:snapToGrid/>
        <w:spacing w:line="1000" w:lineRule="exact"/>
        <w:ind w:firstLine="1760" w:firstLineChars="400"/>
        <w:jc w:val="both"/>
        <w:textAlignment w:val="auto"/>
        <w:rPr>
          <w:rFonts w:hint="eastAsia" w:asciiTheme="minorEastAsia" w:hAnsiTheme="minorEastAsia" w:eastAsiaTheme="minorEastAsia" w:cstheme="minorEastAsia"/>
          <w:color w:val="000000"/>
          <w:sz w:val="44"/>
          <w:szCs w:val="44"/>
          <w:lang w:val="en-US" w:eastAsia="zh-CN"/>
        </w:rPr>
      </w:pPr>
      <w:r>
        <w:rPr>
          <w:rFonts w:hint="eastAsia" w:asciiTheme="minorEastAsia" w:hAnsiTheme="minorEastAsia" w:eastAsiaTheme="minorEastAsia" w:cstheme="minorEastAsia"/>
          <w:color w:val="000000"/>
          <w:sz w:val="44"/>
          <w:szCs w:val="44"/>
          <w:lang w:val="en-US" w:eastAsia="zh-CN"/>
        </w:rPr>
        <w:t>滨州市按病种分值付费（DIP)</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000000"/>
          <w:sz w:val="44"/>
          <w:szCs w:val="44"/>
          <w:lang w:val="en-US" w:eastAsia="zh-CN"/>
        </w:rPr>
      </w:pPr>
      <w:r>
        <w:rPr>
          <w:rFonts w:hint="eastAsia" w:asciiTheme="minorEastAsia" w:hAnsiTheme="minorEastAsia" w:eastAsiaTheme="minorEastAsia" w:cstheme="minorEastAsia"/>
          <w:color w:val="000000"/>
          <w:sz w:val="44"/>
          <w:szCs w:val="44"/>
          <w:lang w:val="en-US" w:eastAsia="zh-CN"/>
        </w:rPr>
        <w:t>技术评价和争议处理暂行办法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为不断深化按病种分值付费（DIP）改革，全面落实《国家医疗保障按病种分值付费（DIP）技术规范》（以下简称《技术规范》），按照国家医保局《DRG／DIP支付方式改革三年行动计划》工作部署，结合我市实际，制定本办法。</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一、技术评价的主要内容</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技术评价的内容暂定以下8项内容，并结合DIP付费改革推进实时调整。</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（一）区域总额预算合理性评价</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（二）核心病种和综合病种分组合理性及动态调整评价</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（三）病种分值确定合理性评价</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（四）定点医疗机构基础系数合理性评价</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（五）住院病例上传DIP信息系统入组合理性评价</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（六）医保基金结算路径合理性评价</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（七）DIP年度清算合理性评价</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（八）DIP协议管理约定内容合理性评价</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二、技术评价依据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（一）《国家医疗保障按病种分值付费（DIP）技术规范》；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（二）《DRG／DIP支付方式改革三年行动计划》；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（三）《按病种分值付费（DIP）医疗保障经办管理规程（试行）》；</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lang w:val="en-US" w:eastAsia="zh-CN"/>
        </w:rPr>
      </w:pPr>
      <w:r>
        <w:rPr>
          <w:rFonts w:hint="eastAsia" w:ascii="宋体" w:hAnsi="宋体" w:eastAsia="宋体" w:cs="宋体"/>
          <w:color w:val="000000"/>
          <w:sz w:val="28"/>
          <w:szCs w:val="28"/>
        </w:rPr>
        <w:t>（四）各定点医疗机构住院信息数据</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lang w:eastAsia="zh-CN"/>
        </w:rPr>
      </w:pPr>
      <w:r>
        <w:rPr>
          <w:rFonts w:hint="eastAsia" w:ascii="宋体" w:hAnsi="宋体" w:eastAsia="宋体" w:cs="宋体"/>
          <w:color w:val="000000"/>
          <w:sz w:val="28"/>
          <w:szCs w:val="28"/>
        </w:rPr>
        <w:t>（五）省、市印发的医疗保障相关法律、法规和规范性文件</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三、技术评价办法</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1、DIP病种分组与《DIP目录库》进行比对；</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2、病种分值与当年度相应组别全市次均住院费用进行比对；</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3、定点医疗机构基础系数与医院等级和医疗收费价格执行情况对比分析；</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4、医保信息系统《医保结算清单》疾病编码与DIP结算系统入组数据进行对比；</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lang w:eastAsia="zh-CN"/>
        </w:rPr>
      </w:pPr>
      <w:r>
        <w:rPr>
          <w:rFonts w:hint="eastAsia" w:ascii="宋体" w:hAnsi="宋体" w:eastAsia="宋体" w:cs="宋体"/>
          <w:color w:val="000000"/>
          <w:sz w:val="28"/>
          <w:szCs w:val="28"/>
        </w:rPr>
        <w:t>5、DIP审核、结算流程审核</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lang w:eastAsia="zh-CN"/>
        </w:rPr>
      </w:pPr>
      <w:r>
        <w:rPr>
          <w:rFonts w:hint="eastAsia" w:ascii="宋体" w:hAnsi="宋体" w:eastAsia="宋体" w:cs="宋体"/>
          <w:color w:val="000000"/>
          <w:sz w:val="28"/>
          <w:szCs w:val="28"/>
        </w:rPr>
        <w:t>6、参保人员住院发生医保基金报销额与DIP结算金额情况分析</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lang w:eastAsia="zh-CN"/>
        </w:rPr>
      </w:pPr>
      <w:r>
        <w:rPr>
          <w:rFonts w:hint="eastAsia" w:ascii="宋体" w:hAnsi="宋体" w:eastAsia="宋体" w:cs="宋体"/>
          <w:color w:val="000000"/>
          <w:sz w:val="28"/>
          <w:szCs w:val="28"/>
        </w:rPr>
        <w:t>7、DIP付费情况与定点医疗机构协议签订情况核查梳理</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lang w:eastAsia="zh-CN"/>
        </w:rPr>
      </w:pPr>
      <w:r>
        <w:rPr>
          <w:rFonts w:hint="eastAsia" w:ascii="宋体" w:hAnsi="宋体" w:eastAsia="宋体" w:cs="宋体"/>
          <w:color w:val="000000"/>
          <w:sz w:val="28"/>
          <w:szCs w:val="28"/>
        </w:rPr>
        <w:t>8、对定点医疗机构绩效考核中发现的问题</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lang w:eastAsia="zh-CN"/>
        </w:rPr>
      </w:pPr>
      <w:r>
        <w:rPr>
          <w:rFonts w:hint="eastAsia" w:ascii="宋体" w:hAnsi="宋体" w:eastAsia="宋体" w:cs="宋体"/>
          <w:color w:val="000000"/>
          <w:sz w:val="28"/>
          <w:szCs w:val="28"/>
        </w:rPr>
        <w:t>9、定期组织DIP专家分析数据和运行情况，开展DIP运行合理性评估</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lang w:eastAsia="zh-CN"/>
        </w:rPr>
      </w:pPr>
      <w:r>
        <w:rPr>
          <w:rFonts w:hint="eastAsia" w:ascii="宋体" w:hAnsi="宋体" w:eastAsia="宋体" w:cs="宋体"/>
          <w:color w:val="000000"/>
          <w:sz w:val="28"/>
          <w:szCs w:val="28"/>
        </w:rPr>
        <w:t>10、日常智能监管、稽核与座谈交流发现的问题分析</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sz w:val="28"/>
          <w:szCs w:val="28"/>
        </w:rPr>
      </w:pPr>
      <w:r>
        <w:rPr>
          <w:rFonts w:hint="eastAsia" w:ascii="宋体" w:hAnsi="宋体" w:eastAsia="宋体" w:cs="宋体"/>
          <w:color w:val="000000"/>
          <w:sz w:val="28"/>
          <w:szCs w:val="28"/>
        </w:rPr>
        <w:t>定期评价与集中评价相结合，总结梳理DIP改革成效，查摆存在的问题，明确规范优化的目标和方向。</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四、</w:t>
      </w:r>
      <w:r>
        <w:rPr>
          <w:rFonts w:hint="eastAsia" w:ascii="宋体" w:hAnsi="宋体" w:eastAsia="宋体" w:cs="宋体"/>
          <w:color w:val="000000"/>
          <w:sz w:val="28"/>
          <w:szCs w:val="28"/>
        </w:rPr>
        <w:t>争议处理</w:t>
      </w:r>
    </w:p>
    <w:p>
      <w:pPr>
        <w:keepNext w:val="0"/>
        <w:keepLines w:val="0"/>
        <w:pageBreakBefore w:val="0"/>
        <w:widowControl w:val="0"/>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在技术评价工作中存在争议的，由DIP办公室组织专家进行集中研究做出结论。仍存在争议的，报请国家和省相关机构研究解决。建立结果反馈机制，争议问题结论和解决方案及时向相关专家和人员反馈。</w:t>
      </w:r>
    </w:p>
    <w:p>
      <w:pPr>
        <w:keepNext w:val="0"/>
        <w:keepLines w:val="0"/>
        <w:pageBreakBefore w:val="0"/>
        <w:widowControl w:val="0"/>
        <w:numPr>
          <w:ilvl w:val="0"/>
          <w:numId w:val="50"/>
        </w:numPr>
        <w:kinsoku/>
        <w:wordWrap/>
        <w:overflowPunct/>
        <w:topLinePunct w:val="0"/>
        <w:autoSpaceDE/>
        <w:autoSpaceDN/>
        <w:bidi w:val="0"/>
        <w:adjustRightInd/>
        <w:snapToGrid/>
        <w:spacing w:line="560" w:lineRule="exact"/>
        <w:ind w:firstLine="68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结果运用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定期实施DIP付费模拟运行，组织召开DIP运行和数据指标分析会，征求定点医疗机构和专家意见。针对日常工作发现的问题，整理形成目标台账，定期组织研究解决，不断规范完善和优化DIP改革方案和基金审核、结算办法。</w:t>
      </w:r>
    </w:p>
    <w:p>
      <w:pPr>
        <w:spacing w:line="560" w:lineRule="exact"/>
        <w:ind w:firstLine="680"/>
        <w:jc w:val="both"/>
        <w:rPr>
          <w:rFonts w:hint="eastAsia" w:ascii="宋体" w:hAnsi="宋体" w:eastAsia="宋体" w:cs="宋体"/>
          <w:color w:val="000000"/>
          <w:sz w:val="28"/>
          <w:szCs w:val="28"/>
        </w:rPr>
      </w:pPr>
      <w:r>
        <w:drawing>
          <wp:anchor distT="0" distB="0" distL="114300" distR="114300" simplePos="0" relativeHeight="251667456" behindDoc="1" locked="0" layoutInCell="1" allowOverlap="1">
            <wp:simplePos x="0" y="0"/>
            <wp:positionH relativeFrom="page">
              <wp:posOffset>4547235</wp:posOffset>
            </wp:positionH>
            <wp:positionV relativeFrom="page">
              <wp:posOffset>4551045</wp:posOffset>
            </wp:positionV>
            <wp:extent cx="1511300" cy="1530350"/>
            <wp:effectExtent l="0" t="0" r="3175" b="3175"/>
            <wp:wrapNone/>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1"/>
                    <a:stretch>
                      <a:fillRect/>
                    </a:stretch>
                  </pic:blipFill>
                  <pic:spPr>
                    <a:xfrm>
                      <a:off x="0" y="0"/>
                      <a:ext cx="1511300" cy="1530350"/>
                    </a:xfrm>
                    <a:prstGeom prst="rect">
                      <a:avLst/>
                    </a:prstGeom>
                    <a:noFill/>
                    <a:ln>
                      <a:noFill/>
                    </a:ln>
                  </pic:spPr>
                </pic:pic>
              </a:graphicData>
            </a:graphic>
          </wp:anchor>
        </w:drawing>
      </w:r>
    </w:p>
    <w:p>
      <w:pPr>
        <w:spacing w:line="540" w:lineRule="exact"/>
        <w:ind w:left="5586" w:leftChars="2660" w:firstLine="1167" w:firstLineChars="417"/>
        <w:jc w:val="both"/>
        <w:rPr>
          <w:color w:val="000000"/>
          <w:sz w:val="30"/>
        </w:rPr>
      </w:pPr>
      <w:r>
        <w:rPr>
          <w:rFonts w:hint="eastAsia" w:ascii="宋体" w:hAnsi="宋体" w:cs="宋体"/>
          <w:color w:val="000000"/>
          <w:sz w:val="28"/>
          <w:szCs w:val="28"/>
          <w:lang w:val="en-US" w:eastAsia="zh-CN"/>
        </w:rPr>
        <w:t xml:space="preserve">  </w:t>
      </w:r>
      <w:r>
        <w:rPr>
          <w:rFonts w:hint="eastAsia" w:ascii="宋体" w:hAnsi="宋体" w:cs="宋体"/>
          <w:i/>
          <w:iCs/>
          <w:color w:val="000000"/>
          <w:sz w:val="28"/>
          <w:szCs w:val="28"/>
          <w:lang w:val="en-US" w:eastAsia="zh-CN"/>
        </w:rPr>
        <w:t xml:space="preserve">  </w:t>
      </w:r>
      <w:r>
        <w:rPr>
          <w:rFonts w:hint="eastAsia" w:ascii="宋体" w:hAnsi="宋体" w:cs="宋体"/>
          <w:color w:val="000000"/>
          <w:sz w:val="28"/>
          <w:szCs w:val="28"/>
          <w:lang w:val="en-US" w:eastAsia="zh-CN"/>
        </w:rPr>
        <w:t xml:space="preserve">                                    </w:t>
      </w:r>
      <w:r>
        <w:rPr>
          <w:color w:val="000000"/>
          <w:sz w:val="30"/>
        </w:rPr>
        <w:t>滨州市医疗保障局</w:t>
      </w:r>
    </w:p>
    <w:p>
      <w:pPr>
        <w:spacing w:line="540" w:lineRule="exact"/>
        <w:ind w:firstLine="5700" w:firstLineChars="1900"/>
        <w:jc w:val="both"/>
      </w:pPr>
      <w:r>
        <w:rPr>
          <w:color w:val="000000"/>
          <w:sz w:val="30"/>
        </w:rPr>
        <w:t>2022年4月20日</w:t>
      </w:r>
    </w:p>
    <w:p>
      <w:pPr>
        <w:spacing w:line="560" w:lineRule="exact"/>
        <w:ind w:firstLine="680"/>
        <w:jc w:val="both"/>
        <w:rPr>
          <w:rFonts w:hint="default" w:ascii="宋体" w:hAnsi="宋体" w:eastAsia="宋体" w:cs="宋体"/>
          <w:color w:val="000000"/>
          <w:sz w:val="28"/>
          <w:szCs w:val="28"/>
          <w:lang w:val="en-US" w:eastAsia="zh-CN"/>
        </w:rPr>
      </w:pPr>
    </w:p>
    <w:p>
      <w:pPr>
        <w:spacing w:line="560" w:lineRule="exact"/>
        <w:ind w:firstLine="680"/>
        <w:jc w:val="both"/>
        <w:rPr>
          <w:rFonts w:hint="default" w:ascii="宋体" w:hAnsi="宋体" w:eastAsia="宋体" w:cs="宋体"/>
          <w:color w:val="000000"/>
          <w:sz w:val="28"/>
          <w:szCs w:val="28"/>
          <w:lang w:val="en-US" w:eastAsia="zh-CN"/>
        </w:rPr>
      </w:pPr>
    </w:p>
    <w:p>
      <w:pPr>
        <w:spacing w:line="560" w:lineRule="exact"/>
        <w:jc w:val="both"/>
        <w:outlineLvl w:val="9"/>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sz w:val="36"/>
          <w:szCs w:val="36"/>
          <w:lang w:val="en-US" w:eastAsia="zh-CN"/>
        </w:rPr>
        <w:t>四、违规行为监管辅助目录</w:t>
      </w:r>
    </w:p>
    <w:p>
      <w:pPr>
        <w:spacing w:before="55" w:line="219" w:lineRule="auto"/>
        <w:rPr>
          <w:rFonts w:ascii="宋体" w:hAnsi="宋体" w:eastAsia="宋体" w:cs="宋体"/>
          <w:sz w:val="28"/>
          <w:szCs w:val="28"/>
        </w:rPr>
      </w:pPr>
    </w:p>
    <w:p>
      <w:pPr>
        <w:spacing w:before="143" w:line="222" w:lineRule="auto"/>
        <w:jc w:val="center"/>
        <w:outlineLvl w:val="9"/>
        <w:rPr>
          <w:rFonts w:hint="eastAsia" w:asciiTheme="minorEastAsia" w:hAnsiTheme="minorEastAsia" w:eastAsiaTheme="minorEastAsia" w:cstheme="minorEastAsia"/>
          <w:b w:val="0"/>
          <w:bCs w:val="0"/>
          <w:sz w:val="44"/>
          <w:szCs w:val="44"/>
        </w:rPr>
      </w:pPr>
      <w:r>
        <w:rPr>
          <w:rFonts w:hint="eastAsia" w:asciiTheme="minorEastAsia" w:hAnsiTheme="minorEastAsia" w:eastAsiaTheme="minorEastAsia" w:cstheme="minorEastAsia"/>
          <w:b w:val="0"/>
          <w:bCs w:val="0"/>
          <w:spacing w:val="-6"/>
          <w:sz w:val="44"/>
          <w:szCs w:val="44"/>
        </w:rPr>
        <w:t>DIP违规行为监管辅助目录</w:t>
      </w:r>
    </w:p>
    <w:p>
      <w:pPr>
        <w:spacing w:line="380" w:lineRule="auto"/>
        <w:rPr>
          <w:rFonts w:ascii="Arial"/>
          <w:b w:val="0"/>
          <w:bCs w:val="0"/>
          <w:sz w:val="21"/>
        </w:rPr>
      </w:pPr>
    </w:p>
    <w:p>
      <w:pPr>
        <w:spacing w:before="55" w:line="219" w:lineRule="auto"/>
        <w:rPr>
          <w:rFonts w:ascii="宋体" w:hAnsi="宋体" w:eastAsia="宋体" w:cs="宋体"/>
          <w:sz w:val="28"/>
          <w:szCs w:val="28"/>
        </w:rPr>
      </w:pPr>
    </w:p>
    <w:p>
      <w:pPr>
        <w:spacing w:line="380" w:lineRule="auto"/>
        <w:rPr>
          <w:rFonts w:ascii="Arial"/>
          <w:sz w:val="21"/>
        </w:rPr>
      </w:pPr>
    </w:p>
    <w:p>
      <w:pPr>
        <w:pStyle w:val="7"/>
        <w:spacing w:before="91" w:line="405" w:lineRule="auto"/>
        <w:ind w:right="49" w:firstLine="584" w:firstLineChars="200"/>
        <w:jc w:val="both"/>
      </w:pPr>
      <w:r>
        <w:rPr>
          <w:spacing w:val="6"/>
        </w:rPr>
        <w:t>违规行为监管辅助目录侧重于利用大数据所发现的医疗机构行</w:t>
      </w:r>
      <w:r>
        <w:rPr>
          <w:spacing w:val="-4"/>
        </w:rPr>
        <w:t>为特征，建立针对违规行为的洞察发现与客观评价机制，以病案质量指数、二次入院、低标入院、超长住院以及死亡风险等指标引导医疗</w:t>
      </w:r>
      <w:r>
        <w:rPr>
          <w:spacing w:val="-1"/>
        </w:rPr>
        <w:t>机构规范医疗行为，降低医疗机构组别高套、诱导住院、风险选择、</w:t>
      </w:r>
      <w:r>
        <w:rPr>
          <w:spacing w:val="-3"/>
        </w:rPr>
        <w:t>分解住院的可能性，提高医疗质量。具体涉及的辅助目录如下：</w:t>
      </w:r>
    </w:p>
    <w:p>
      <w:pPr>
        <w:spacing w:before="287" w:line="224" w:lineRule="auto"/>
        <w:outlineLvl w:val="1"/>
        <w:rPr>
          <w:rFonts w:ascii="楷体" w:hAnsi="楷体" w:eastAsia="楷体" w:cs="楷体"/>
          <w:b w:val="0"/>
          <w:bCs w:val="0"/>
          <w:sz w:val="31"/>
          <w:szCs w:val="31"/>
        </w:rPr>
      </w:pPr>
      <w:bookmarkStart w:id="130" w:name="_Toc18136"/>
      <w:r>
        <w:rPr>
          <w:rFonts w:ascii="Times New Roman" w:hAnsi="Times New Roman" w:eastAsia="Times New Roman" w:cs="Times New Roman"/>
          <w:b w:val="0"/>
          <w:bCs w:val="0"/>
          <w:spacing w:val="5"/>
          <w:sz w:val="31"/>
          <w:szCs w:val="31"/>
        </w:rPr>
        <w:t xml:space="preserve">1 </w:t>
      </w:r>
      <w:r>
        <w:rPr>
          <w:rFonts w:ascii="楷体" w:hAnsi="楷体" w:eastAsia="楷体" w:cs="楷体"/>
          <w:b w:val="0"/>
          <w:bCs w:val="0"/>
          <w:spacing w:val="5"/>
          <w:sz w:val="31"/>
          <w:szCs w:val="31"/>
        </w:rPr>
        <w:t>病案质量指数辅助目录</w:t>
      </w:r>
      <w:bookmarkEnd w:id="130"/>
    </w:p>
    <w:p>
      <w:pPr>
        <w:spacing w:line="433" w:lineRule="auto"/>
        <w:rPr>
          <w:rFonts w:ascii="Arial"/>
          <w:sz w:val="21"/>
        </w:rPr>
      </w:pPr>
    </w:p>
    <w:p>
      <w:pPr>
        <w:pStyle w:val="7"/>
        <w:spacing w:before="91" w:line="404" w:lineRule="auto"/>
        <w:ind w:right="138" w:firstLine="548" w:firstLineChars="200"/>
        <w:jc w:val="both"/>
      </w:pPr>
      <w:r>
        <w:rPr>
          <w:spacing w:val="-3"/>
        </w:rPr>
        <w:t>病案首页是进行</w:t>
      </w:r>
      <w:r>
        <w:rPr>
          <w:spacing w:val="-28"/>
        </w:rPr>
        <w:t xml:space="preserve"> </w:t>
      </w:r>
      <w:r>
        <w:rPr>
          <w:rFonts w:ascii="Times New Roman" w:hAnsi="Times New Roman" w:eastAsia="Times New Roman" w:cs="Times New Roman"/>
          <w:spacing w:val="-3"/>
        </w:rPr>
        <w:t xml:space="preserve">DIP </w:t>
      </w:r>
      <w:r>
        <w:rPr>
          <w:spacing w:val="-3"/>
        </w:rPr>
        <w:t>的基础。由于</w:t>
      </w:r>
      <w:r>
        <w:rPr>
          <w:spacing w:val="-31"/>
        </w:rPr>
        <w:t xml:space="preserve"> </w:t>
      </w:r>
      <w:r>
        <w:rPr>
          <w:rFonts w:ascii="Times New Roman" w:hAnsi="Times New Roman" w:eastAsia="Times New Roman" w:cs="Times New Roman"/>
          <w:spacing w:val="-3"/>
        </w:rPr>
        <w:t>DIP</w:t>
      </w:r>
      <w:r>
        <w:rPr>
          <w:spacing w:val="-3"/>
        </w:rPr>
        <w:t>对诊断和手术操作编码</w:t>
      </w:r>
      <w:r>
        <w:rPr>
          <w:spacing w:val="-4"/>
        </w:rPr>
        <w:t>进行全集组合再聚类的方式进行分组，诊断和手术操作编码的轻微改变即可能导致最终分入不同的病组。因此医疗机构编码套高行为的预</w:t>
      </w:r>
      <w:r>
        <w:rPr>
          <w:spacing w:val="-3"/>
        </w:rPr>
        <w:t>期收益较大，发生的可能性很高。</w:t>
      </w:r>
    </w:p>
    <w:p>
      <w:pPr>
        <w:pStyle w:val="7"/>
        <w:spacing w:before="44" w:line="402" w:lineRule="auto"/>
        <w:ind w:firstLine="544" w:firstLineChars="200"/>
      </w:pPr>
      <w:r>
        <w:rPr>
          <w:spacing w:val="-4"/>
        </w:rPr>
        <w:t>病案首页的质量控制主要基于病案学规范和临床知识库，因此基</w:t>
      </w:r>
      <w:r>
        <w:rPr>
          <w:spacing w:val="10"/>
        </w:rPr>
        <w:t>于上述两项内容构建的病案质量评价体系才是可以真正反映医院套</w:t>
      </w:r>
      <w:r>
        <w:rPr>
          <w:spacing w:val="-4"/>
        </w:rPr>
        <w:t>高行为。病案质量指数包含以下三个部分：</w:t>
      </w:r>
    </w:p>
    <w:p>
      <w:pPr>
        <w:pStyle w:val="7"/>
        <w:spacing w:before="45" w:line="216" w:lineRule="auto"/>
        <w:ind w:firstLine="536" w:firstLineChars="200"/>
      </w:pPr>
      <w:r>
        <w:rPr>
          <w:spacing w:val="-6"/>
        </w:rPr>
        <w:t>（</w:t>
      </w:r>
      <w:r>
        <w:rPr>
          <w:rFonts w:ascii="Times New Roman" w:hAnsi="Times New Roman" w:eastAsia="Times New Roman" w:cs="Times New Roman"/>
          <w:spacing w:val="-6"/>
        </w:rPr>
        <w:t>1</w:t>
      </w:r>
      <w:r>
        <w:rPr>
          <w:spacing w:val="-6"/>
        </w:rPr>
        <w:t>）</w:t>
      </w:r>
      <w:r>
        <w:rPr>
          <w:spacing w:val="-32"/>
        </w:rPr>
        <w:t xml:space="preserve"> </w:t>
      </w:r>
      <w:r>
        <w:rPr>
          <w:spacing w:val="-6"/>
        </w:rPr>
        <w:t>合规性指数</w:t>
      </w:r>
    </w:p>
    <w:p>
      <w:pPr>
        <w:pStyle w:val="7"/>
        <w:spacing w:before="295" w:line="402" w:lineRule="auto"/>
        <w:ind w:right="42" w:firstLine="556" w:firstLineChars="200"/>
      </w:pPr>
      <w:r>
        <w:rPr>
          <w:spacing w:val="-1"/>
        </w:rPr>
        <w:t>合规性问题主要指病案中发生的诊断手术与基础信息（如年龄、</w:t>
      </w:r>
      <w:r>
        <w:rPr>
          <w:spacing w:val="12"/>
        </w:rPr>
        <w:t xml:space="preserve"> </w:t>
      </w:r>
      <w:r>
        <w:rPr>
          <w:spacing w:val="-13"/>
        </w:rPr>
        <w:t>性别、出生体重）不符、诊断冲突、手术冲突、诊断与手术不一致等，</w:t>
      </w:r>
      <w:r>
        <w:t>反应医疗机构对病案学基础规范掌握程度，是</w:t>
      </w:r>
      <w:r>
        <w:rPr>
          <w:spacing w:val="-1"/>
        </w:rPr>
        <w:t>病案质量的一种体现。</w:t>
      </w:r>
    </w:p>
    <w:p>
      <w:pPr>
        <w:pStyle w:val="7"/>
        <w:spacing w:before="45" w:line="230" w:lineRule="auto"/>
        <w:ind w:firstLine="548" w:firstLineChars="200"/>
        <w:rPr>
          <w:rFonts w:ascii="Times New Roman" w:hAnsi="Times New Roman" w:eastAsia="Times New Roman" w:cs="Times New Roman"/>
        </w:rPr>
      </w:pPr>
      <w:r>
        <w:rPr>
          <w:spacing w:val="-3"/>
        </w:rPr>
        <w:t xml:space="preserve">合规性指数 </w:t>
      </w:r>
      <w:r>
        <w:rPr>
          <w:rFonts w:ascii="Times New Roman" w:hAnsi="Times New Roman" w:eastAsia="Times New Roman" w:cs="Times New Roman"/>
          <w:spacing w:val="-3"/>
        </w:rPr>
        <w:t>=</w:t>
      </w:r>
    </w:p>
    <w:p>
      <w:pPr>
        <w:spacing w:before="310" w:line="179" w:lineRule="auto"/>
        <w:rPr>
          <w:rFonts w:ascii="宋体" w:hAnsi="宋体" w:eastAsia="宋体" w:cs="宋体"/>
          <w:sz w:val="23"/>
          <w:szCs w:val="23"/>
        </w:rPr>
      </w:pPr>
      <w:r>
        <w:pict>
          <v:shape id="_x0000_s1044" o:spid="_x0000_s1044" o:spt="202" type="#_x0000_t202" style="position:absolute;left:0pt;margin-left:45.55pt;margin-top:6.95pt;height:14pt;width:402.7pt;z-index:251664384;mso-width-relative:page;mso-height-relative:page;" filled="f" stroked="f" coordsize="21600,21600">
            <v:path/>
            <v:fill on="f" focussize="0,0"/>
            <v:stroke on="f"/>
            <v:imagedata o:title=""/>
            <o:lock v:ext="edit" aspectratio="f"/>
            <v:textbox inset="0mm,0mm,0mm,0mm">
              <w:txbxContent>
                <w:p>
                  <w:pPr>
                    <w:spacing w:before="19" w:line="193" w:lineRule="auto"/>
                    <w:rPr>
                      <w:rFonts w:hint="default" w:ascii="宋体" w:hAnsi="宋体" w:eastAsia="宋体" w:cs="宋体"/>
                      <w:sz w:val="23"/>
                      <w:szCs w:val="23"/>
                      <w:lang w:val="en-US" w:eastAsia="zh-CN"/>
                    </w:rPr>
                  </w:pPr>
                  <w:r>
                    <w:rPr>
                      <w:rFonts w:ascii="宋体" w:hAnsi="宋体" w:eastAsia="宋体" w:cs="宋体"/>
                      <w:spacing w:val="10"/>
                      <w:sz w:val="23"/>
                      <w:szCs w:val="23"/>
                    </w:rPr>
                    <w:t>医疗机构合规性问题占比</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14"/>
                      <w:sz w:val="23"/>
                      <w:szCs w:val="23"/>
                    </w:rPr>
                    <w:t xml:space="preserve"> </w:t>
                  </w:r>
                  <w:r>
                    <w:rPr>
                      <w:rFonts w:ascii="宋体" w:hAnsi="宋体" w:eastAsia="宋体" w:cs="宋体"/>
                      <w:spacing w:val="10"/>
                      <w:sz w:val="23"/>
                      <w:szCs w:val="23"/>
                    </w:rPr>
                    <w:t>合规性问题占比下四分位数</w:t>
                  </w:r>
                  <w:r>
                    <w:rPr>
                      <w:rFonts w:hint="eastAsia" w:ascii="宋体" w:hAnsi="宋体" w:eastAsia="宋体" w:cs="宋体"/>
                      <w:spacing w:val="10"/>
                      <w:sz w:val="23"/>
                      <w:szCs w:val="23"/>
                      <w:lang w:val="en-US" w:eastAsia="zh-CN"/>
                    </w:rPr>
                    <w:t xml:space="preserve">       </w:t>
                  </w:r>
                </w:p>
              </w:txbxContent>
            </v:textbox>
          </v:shape>
        </w:pict>
      </w:r>
      <w:r>
        <w:rPr>
          <w:rFonts w:ascii="Times New Roman" w:hAnsi="Times New Roman" w:eastAsia="Times New Roman" w:cs="Times New Roman"/>
          <w:spacing w:val="11"/>
          <w:sz w:val="23"/>
          <w:szCs w:val="23"/>
        </w:rPr>
        <w:t>1-</w:t>
      </w:r>
      <w:r>
        <w:rPr>
          <w:rFonts w:ascii="Times New Roman" w:hAnsi="Times New Roman" w:eastAsia="Times New Roman" w:cs="Times New Roman"/>
          <w:sz w:val="23"/>
          <w:szCs w:val="23"/>
        </w:rPr>
        <w:t>max</w:t>
      </w:r>
      <w:r>
        <w:rPr>
          <w:rFonts w:ascii="宋体" w:hAnsi="宋体" w:eastAsia="宋体" w:cs="宋体"/>
          <w:spacing w:val="-56"/>
          <w:w w:val="92"/>
          <w:sz w:val="23"/>
          <w:szCs w:val="23"/>
        </w:rPr>
        <w:t>（</w:t>
      </w:r>
      <w:r>
        <w:rPr>
          <w:rFonts w:ascii="宋体" w:hAnsi="宋体" w:eastAsia="宋体" w:cs="宋体"/>
          <w:spacing w:val="-73"/>
          <w:sz w:val="23"/>
          <w:szCs w:val="23"/>
        </w:rPr>
        <w:t xml:space="preserve"> </w:t>
      </w:r>
      <w:r>
        <w:rPr>
          <w:rFonts w:ascii="宋体" w:hAnsi="宋体" w:eastAsia="宋体" w:cs="宋体"/>
          <w:strike/>
          <w:spacing w:val="2"/>
          <w:sz w:val="23"/>
          <w:szCs w:val="23"/>
        </w:rPr>
        <w:t xml:space="preserve">                    </w:t>
      </w:r>
      <w:r>
        <w:rPr>
          <w:rFonts w:ascii="宋体" w:hAnsi="宋体" w:eastAsia="宋体" w:cs="宋体"/>
          <w:strike/>
          <w:spacing w:val="1"/>
          <w:sz w:val="23"/>
          <w:szCs w:val="23"/>
        </w:rPr>
        <w:t xml:space="preserve">                                   </w:t>
      </w:r>
      <w:r>
        <w:rPr>
          <w:rFonts w:ascii="宋体" w:hAnsi="宋体" w:eastAsia="宋体" w:cs="宋体"/>
          <w:spacing w:val="-56"/>
          <w:w w:val="92"/>
          <w:sz w:val="23"/>
          <w:szCs w:val="23"/>
        </w:rPr>
        <w:t>，</w:t>
      </w:r>
      <w:r>
        <w:rPr>
          <w:rFonts w:ascii="Times New Roman" w:hAnsi="Times New Roman" w:eastAsia="Times New Roman" w:cs="Times New Roman"/>
          <w:spacing w:val="11"/>
          <w:sz w:val="23"/>
          <w:szCs w:val="23"/>
        </w:rPr>
        <w:t>0</w:t>
      </w:r>
      <w:r>
        <w:rPr>
          <w:rFonts w:ascii="宋体" w:hAnsi="宋体" w:eastAsia="宋体" w:cs="宋体"/>
          <w:spacing w:val="11"/>
          <w:sz w:val="23"/>
          <w:szCs w:val="23"/>
        </w:rPr>
        <w:t>）</w:t>
      </w:r>
    </w:p>
    <w:p>
      <w:pPr>
        <w:spacing w:line="198" w:lineRule="auto"/>
        <w:ind w:firstLine="750" w:firstLineChars="300"/>
        <w:rPr>
          <w:rFonts w:ascii="宋体" w:hAnsi="宋体" w:eastAsia="宋体" w:cs="宋体"/>
          <w:sz w:val="23"/>
          <w:szCs w:val="23"/>
        </w:rPr>
      </w:pPr>
      <w:r>
        <w:rPr>
          <w:rFonts w:ascii="宋体" w:hAnsi="宋体" w:eastAsia="宋体" w:cs="宋体"/>
          <w:spacing w:val="10"/>
          <w:sz w:val="23"/>
          <w:szCs w:val="23"/>
        </w:rPr>
        <w:t>医疗机构合规性问题占比最大值</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8"/>
          <w:sz w:val="23"/>
          <w:szCs w:val="23"/>
        </w:rPr>
        <w:t xml:space="preserve"> </w:t>
      </w:r>
      <w:r>
        <w:rPr>
          <w:rFonts w:ascii="宋体" w:hAnsi="宋体" w:eastAsia="宋体" w:cs="宋体"/>
          <w:spacing w:val="10"/>
          <w:sz w:val="23"/>
          <w:szCs w:val="23"/>
        </w:rPr>
        <w:t>合规性问题占比下四分位数</w:t>
      </w:r>
    </w:p>
    <w:p>
      <w:pPr>
        <w:spacing w:line="198" w:lineRule="auto"/>
        <w:rPr>
          <w:rFonts w:ascii="宋体" w:hAnsi="宋体" w:eastAsia="宋体" w:cs="宋体"/>
          <w:sz w:val="23"/>
          <w:szCs w:val="23"/>
        </w:rPr>
      </w:pPr>
    </w:p>
    <w:p>
      <w:pPr>
        <w:pStyle w:val="7"/>
        <w:spacing w:before="181" w:line="219" w:lineRule="auto"/>
        <w:ind w:firstLine="544" w:firstLineChars="200"/>
      </w:pPr>
      <w:r>
        <w:rPr>
          <w:spacing w:val="-4"/>
        </w:rPr>
        <w:t>（</w:t>
      </w:r>
      <w:r>
        <w:rPr>
          <w:rFonts w:ascii="Times New Roman" w:hAnsi="Times New Roman" w:eastAsia="Times New Roman" w:cs="Times New Roman"/>
          <w:spacing w:val="-4"/>
        </w:rPr>
        <w:t>2</w:t>
      </w:r>
      <w:r>
        <w:rPr>
          <w:spacing w:val="-4"/>
        </w:rPr>
        <w:t>）</w:t>
      </w:r>
      <w:r>
        <w:rPr>
          <w:spacing w:val="-43"/>
        </w:rPr>
        <w:t xml:space="preserve"> </w:t>
      </w:r>
      <w:r>
        <w:rPr>
          <w:spacing w:val="-4"/>
        </w:rPr>
        <w:t>编码套高指数</w:t>
      </w:r>
    </w:p>
    <w:p>
      <w:pPr>
        <w:pStyle w:val="7"/>
        <w:spacing w:before="289" w:line="402" w:lineRule="auto"/>
        <w:ind w:left="31" w:right="10" w:firstLine="560"/>
        <w:rPr>
          <w:rFonts w:hint="eastAsia"/>
          <w:spacing w:val="-3"/>
          <w:lang w:eastAsia="zh-CN"/>
        </w:rPr>
      </w:pPr>
      <w:r>
        <w:rPr>
          <w:spacing w:val="-4"/>
        </w:rPr>
        <w:t>编码套高问题指医疗机构通过调整主诊断、虚增诊断、虚增手术</w:t>
      </w:r>
      <w:r>
        <w:rPr>
          <w:spacing w:val="-5"/>
        </w:rPr>
        <w:t>等方式使病案进入费用更高分组的行为，是在使用</w:t>
      </w:r>
      <w:r>
        <w:rPr>
          <w:spacing w:val="-48"/>
        </w:rPr>
        <w:t xml:space="preserve"> </w:t>
      </w:r>
      <w:r>
        <w:rPr>
          <w:spacing w:val="-5"/>
        </w:rPr>
        <w:t>DIP</w:t>
      </w:r>
      <w:r>
        <w:rPr>
          <w:spacing w:val="-46"/>
        </w:rPr>
        <w:t xml:space="preserve"> </w:t>
      </w:r>
      <w:r>
        <w:rPr>
          <w:spacing w:val="-5"/>
        </w:rPr>
        <w:t>情况下欺诈骗</w:t>
      </w:r>
      <w:r>
        <w:rPr>
          <w:spacing w:val="-3"/>
        </w:rPr>
        <w:t>保的一种常见方式</w:t>
      </w:r>
      <w:r>
        <w:rPr>
          <w:rFonts w:hint="eastAsia"/>
          <w:spacing w:val="-3"/>
          <w:lang w:eastAsia="zh-CN"/>
        </w:rPr>
        <w:t>。</w:t>
      </w:r>
    </w:p>
    <w:p>
      <w:pPr>
        <w:pStyle w:val="7"/>
        <w:spacing w:before="45" w:line="219" w:lineRule="auto"/>
        <w:ind w:firstLine="552" w:firstLineChars="200"/>
      </w:pPr>
      <w:r>
        <w:rPr>
          <w:spacing w:val="-2"/>
        </w:rPr>
        <w:t>编码套高指数 =</w:t>
      </w:r>
    </w:p>
    <w:p>
      <w:pPr>
        <w:spacing w:line="377" w:lineRule="auto"/>
        <w:rPr>
          <w:rFonts w:ascii="Arial"/>
          <w:sz w:val="21"/>
        </w:rPr>
      </w:pPr>
    </w:p>
    <w:p>
      <w:pPr>
        <w:spacing w:before="75" w:line="179" w:lineRule="auto"/>
        <w:ind w:left="51"/>
        <w:rPr>
          <w:rFonts w:ascii="宋体" w:hAnsi="宋体" w:eastAsia="宋体" w:cs="宋体"/>
          <w:sz w:val="23"/>
          <w:szCs w:val="23"/>
        </w:rPr>
      </w:pPr>
      <w:r>
        <w:pict>
          <v:shape id="_x0000_s1060" o:spid="_x0000_s1060" o:spt="202" type="#_x0000_t202" style="position:absolute;left:0pt;margin-left:64.75pt;margin-top:-4.75pt;height:14pt;width:308.15pt;z-index:251671552;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宋体" w:hAnsi="宋体" w:eastAsia="宋体" w:cs="宋体"/>
                      <w:sz w:val="23"/>
                      <w:szCs w:val="23"/>
                    </w:rPr>
                  </w:pPr>
                  <w:r>
                    <w:rPr>
                      <w:rFonts w:ascii="宋体" w:hAnsi="宋体" w:eastAsia="宋体" w:cs="宋体"/>
                      <w:spacing w:val="10"/>
                      <w:sz w:val="23"/>
                      <w:szCs w:val="23"/>
                    </w:rPr>
                    <w:t>医疗机构编码套高问题占比</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19"/>
                      <w:sz w:val="23"/>
                      <w:szCs w:val="23"/>
                    </w:rPr>
                    <w:t xml:space="preserve"> </w:t>
                  </w:r>
                  <w:r>
                    <w:rPr>
                      <w:rFonts w:ascii="宋体" w:hAnsi="宋体" w:eastAsia="宋体" w:cs="宋体"/>
                      <w:spacing w:val="10"/>
                      <w:sz w:val="23"/>
                      <w:szCs w:val="23"/>
                    </w:rPr>
                    <w:t>编码套高问题占比</w:t>
                  </w:r>
                  <w:r>
                    <w:rPr>
                      <w:rFonts w:ascii="宋体" w:hAnsi="宋体" w:eastAsia="宋体" w:cs="宋体"/>
                      <w:spacing w:val="9"/>
                      <w:sz w:val="23"/>
                      <w:szCs w:val="23"/>
                    </w:rPr>
                    <w:t>下四分位数</w:t>
                  </w:r>
                </w:p>
              </w:txbxContent>
            </v:textbox>
          </v:shape>
        </w:pict>
      </w:r>
      <w:r>
        <w:rPr>
          <w:rFonts w:ascii="Times New Roman" w:hAnsi="Times New Roman" w:eastAsia="Times New Roman" w:cs="Times New Roman"/>
          <w:spacing w:val="11"/>
          <w:sz w:val="23"/>
          <w:szCs w:val="23"/>
        </w:rPr>
        <w:t>1-</w:t>
      </w:r>
      <w:r>
        <w:rPr>
          <w:rFonts w:ascii="Times New Roman" w:hAnsi="Times New Roman" w:eastAsia="Times New Roman" w:cs="Times New Roman"/>
          <w:sz w:val="23"/>
          <w:szCs w:val="23"/>
        </w:rPr>
        <w:t>max</w:t>
      </w:r>
      <w:r>
        <w:rPr>
          <w:rFonts w:ascii="宋体" w:hAnsi="宋体" w:eastAsia="宋体" w:cs="宋体"/>
          <w:spacing w:val="-56"/>
          <w:w w:val="91"/>
          <w:sz w:val="23"/>
          <w:szCs w:val="23"/>
        </w:rPr>
        <w:t>（</w:t>
      </w:r>
      <w:r>
        <w:rPr>
          <w:rFonts w:ascii="宋体" w:hAnsi="宋体" w:eastAsia="宋体" w:cs="宋体"/>
          <w:spacing w:val="-70"/>
          <w:sz w:val="23"/>
          <w:szCs w:val="23"/>
        </w:rPr>
        <w:t xml:space="preserve"> </w:t>
      </w:r>
      <w:r>
        <w:rPr>
          <w:rFonts w:ascii="宋体" w:hAnsi="宋体" w:eastAsia="宋体" w:cs="宋体"/>
          <w:strike/>
          <w:spacing w:val="2"/>
          <w:sz w:val="23"/>
          <w:szCs w:val="23"/>
        </w:rPr>
        <w:t xml:space="preserve">                            </w:t>
      </w:r>
      <w:r>
        <w:rPr>
          <w:rFonts w:ascii="宋体" w:hAnsi="宋体" w:eastAsia="宋体" w:cs="宋体"/>
          <w:strike/>
          <w:spacing w:val="1"/>
          <w:sz w:val="23"/>
          <w:szCs w:val="23"/>
        </w:rPr>
        <w:t xml:space="preserve">                               </w:t>
      </w:r>
      <w:r>
        <w:rPr>
          <w:rFonts w:ascii="宋体" w:hAnsi="宋体" w:eastAsia="宋体" w:cs="宋体"/>
          <w:spacing w:val="-56"/>
          <w:w w:val="91"/>
          <w:sz w:val="23"/>
          <w:szCs w:val="23"/>
        </w:rPr>
        <w:t>，</w:t>
      </w:r>
      <w:r>
        <w:rPr>
          <w:rFonts w:ascii="Times New Roman" w:hAnsi="Times New Roman" w:eastAsia="Times New Roman" w:cs="Times New Roman"/>
          <w:spacing w:val="11"/>
          <w:sz w:val="23"/>
          <w:szCs w:val="23"/>
        </w:rPr>
        <w:t>0</w:t>
      </w:r>
      <w:r>
        <w:rPr>
          <w:rFonts w:ascii="宋体" w:hAnsi="宋体" w:eastAsia="宋体" w:cs="宋体"/>
          <w:spacing w:val="11"/>
          <w:sz w:val="23"/>
          <w:szCs w:val="23"/>
        </w:rPr>
        <w:t>）</w:t>
      </w:r>
    </w:p>
    <w:p>
      <w:pPr>
        <w:spacing w:line="198" w:lineRule="auto"/>
        <w:ind w:left="953"/>
        <w:rPr>
          <w:rFonts w:hint="eastAsia" w:ascii="宋体" w:hAnsi="宋体" w:eastAsia="宋体" w:cs="宋体"/>
          <w:spacing w:val="8"/>
          <w:sz w:val="23"/>
          <w:szCs w:val="23"/>
          <w:lang w:val="en-US" w:eastAsia="zh-CN"/>
        </w:rPr>
      </w:pPr>
      <w:r>
        <w:rPr>
          <w:rFonts w:ascii="宋体" w:hAnsi="宋体" w:eastAsia="宋体" w:cs="宋体"/>
          <w:spacing w:val="8"/>
          <w:sz w:val="23"/>
          <w:szCs w:val="23"/>
        </w:rPr>
        <w:t>医疗机构编码套高问题占比最大值</w:t>
      </w:r>
      <w:r>
        <w:rPr>
          <w:rFonts w:ascii="宋体" w:hAnsi="宋体" w:eastAsia="宋体" w:cs="宋体"/>
          <w:spacing w:val="-57"/>
          <w:sz w:val="23"/>
          <w:szCs w:val="23"/>
        </w:rPr>
        <w:t xml:space="preserve"> </w:t>
      </w:r>
      <w:r>
        <w:rPr>
          <w:rFonts w:ascii="Times New Roman" w:hAnsi="Times New Roman" w:eastAsia="Times New Roman" w:cs="Times New Roman"/>
          <w:spacing w:val="8"/>
          <w:sz w:val="23"/>
          <w:szCs w:val="23"/>
        </w:rPr>
        <w:t>-</w:t>
      </w:r>
      <w:r>
        <w:rPr>
          <w:rFonts w:ascii="Times New Roman" w:hAnsi="Times New Roman" w:eastAsia="Times New Roman" w:cs="Times New Roman"/>
          <w:spacing w:val="-19"/>
          <w:sz w:val="23"/>
          <w:szCs w:val="23"/>
        </w:rPr>
        <w:t xml:space="preserve"> </w:t>
      </w:r>
      <w:r>
        <w:rPr>
          <w:rFonts w:ascii="宋体" w:hAnsi="宋体" w:eastAsia="宋体" w:cs="宋体"/>
          <w:spacing w:val="8"/>
          <w:sz w:val="23"/>
          <w:szCs w:val="23"/>
        </w:rPr>
        <w:t>编码套高问题占比下四分位数</w:t>
      </w:r>
      <w:r>
        <w:rPr>
          <w:rFonts w:hint="eastAsia" w:ascii="宋体" w:hAnsi="宋体" w:eastAsia="宋体" w:cs="宋体"/>
          <w:spacing w:val="8"/>
          <w:sz w:val="23"/>
          <w:szCs w:val="23"/>
          <w:lang w:val="en-US" w:eastAsia="zh-CN"/>
        </w:rPr>
        <w:t xml:space="preserve">  </w:t>
      </w:r>
    </w:p>
    <w:p>
      <w:pPr>
        <w:spacing w:line="198" w:lineRule="auto"/>
        <w:ind w:left="953"/>
        <w:rPr>
          <w:rFonts w:hint="eastAsia" w:ascii="宋体" w:hAnsi="宋体" w:eastAsia="宋体" w:cs="宋体"/>
          <w:spacing w:val="8"/>
          <w:sz w:val="23"/>
          <w:szCs w:val="23"/>
          <w:lang w:val="en-US" w:eastAsia="zh-CN"/>
        </w:rPr>
      </w:pPr>
    </w:p>
    <w:p>
      <w:pPr>
        <w:pStyle w:val="7"/>
        <w:spacing w:before="303" w:line="397" w:lineRule="auto"/>
        <w:ind w:right="204"/>
      </w:pPr>
      <w:r>
        <w:rPr>
          <w:spacing w:val="-1"/>
        </w:rPr>
        <w:t>针对医疗机构的套高问题，将首先利用同一疾病诊断中不同治疗方法的资源消耗程度与纵向往期数据、横向区域均值的偏离情况，对医疗机构的套高病组进行发现与评估，而同一诊断对治疗方</w:t>
      </w:r>
      <w:r>
        <w:rPr>
          <w:spacing w:val="-2"/>
        </w:rPr>
        <w:t>法选择的合理性评价结果，即为均衡指数（</w:t>
      </w:r>
      <w:r>
        <w:rPr>
          <w:rFonts w:ascii="Times New Roman" w:hAnsi="Times New Roman" w:eastAsia="Times New Roman" w:cs="Times New Roman"/>
          <w:spacing w:val="-2"/>
        </w:rPr>
        <w:t>Bal</w:t>
      </w:r>
      <w:r>
        <w:rPr>
          <w:rFonts w:ascii="Times New Roman" w:hAnsi="Times New Roman" w:eastAsia="Times New Roman" w:cs="Times New Roman"/>
          <w:spacing w:val="-3"/>
        </w:rPr>
        <w:t>ancing Index</w:t>
      </w:r>
      <w:r>
        <w:rPr>
          <w:rFonts w:ascii="Times New Roman" w:hAnsi="Times New Roman" w:eastAsia="Times New Roman" w:cs="Times New Roman"/>
          <w:spacing w:val="-28"/>
        </w:rPr>
        <w:t xml:space="preserve"> </w:t>
      </w:r>
      <w:r>
        <w:rPr>
          <w:spacing w:val="-3"/>
        </w:rPr>
        <w:t>，</w:t>
      </w:r>
      <w:r>
        <w:rPr>
          <w:rFonts w:ascii="Times New Roman" w:hAnsi="Times New Roman" w:eastAsia="Times New Roman" w:cs="Times New Roman"/>
          <w:spacing w:val="-3"/>
        </w:rPr>
        <w:t>BI</w:t>
      </w:r>
      <w:r>
        <w:rPr>
          <w:spacing w:val="-3"/>
        </w:rPr>
        <w:t>）</w:t>
      </w:r>
      <w:r>
        <w:rPr>
          <w:rFonts w:hint="eastAsia"/>
          <w:spacing w:val="-3"/>
          <w:lang w:eastAsia="zh-CN"/>
        </w:rPr>
        <w:t>。</w:t>
      </w:r>
      <w:r>
        <w:rPr>
          <w:spacing w:val="-1"/>
        </w:rPr>
        <w:t>利用此方法发现的套高病组病例数占总病例数的比例确定医疗机构套高问题占比，对医疗机构的病案质量以及所反映的医疗行为规范</w:t>
      </w:r>
      <w:r>
        <w:rPr>
          <w:spacing w:val="-3"/>
        </w:rPr>
        <w:t>进行量化评价。经由</w:t>
      </w:r>
      <w:r>
        <w:rPr>
          <w:spacing w:val="-65"/>
        </w:rPr>
        <w:t xml:space="preserve"> </w:t>
      </w:r>
      <w:r>
        <w:rPr>
          <w:rFonts w:ascii="Times New Roman" w:hAnsi="Times New Roman" w:eastAsia="Times New Roman" w:cs="Times New Roman"/>
          <w:spacing w:val="-3"/>
        </w:rPr>
        <w:t>BI</w:t>
      </w:r>
      <w:r>
        <w:rPr>
          <w:spacing w:val="-3"/>
        </w:rPr>
        <w:t>发现医疗机构套高问题的算法如下：</w:t>
      </w:r>
    </w:p>
    <w:p>
      <w:pPr>
        <w:pStyle w:val="7"/>
        <w:spacing w:before="56" w:line="218" w:lineRule="auto"/>
        <w:ind w:left="570"/>
      </w:pPr>
      <w:r>
        <w:rPr>
          <w:rFonts w:hint="eastAsia"/>
          <w:spacing w:val="-6"/>
          <w:lang w:eastAsia="zh-CN"/>
        </w:rPr>
        <w:t>（</w:t>
      </w:r>
      <w:r>
        <w:rPr>
          <w:rFonts w:hint="eastAsia"/>
          <w:spacing w:val="-6"/>
          <w:lang w:val="en-US" w:eastAsia="zh-CN"/>
        </w:rPr>
        <w:t>1）</w:t>
      </w:r>
      <w:r>
        <w:rPr>
          <w:spacing w:val="-6"/>
        </w:rPr>
        <w:t>高低资源消耗组合</w:t>
      </w:r>
    </w:p>
    <w:p>
      <w:pPr>
        <w:pStyle w:val="7"/>
        <w:spacing w:before="294" w:line="230" w:lineRule="auto"/>
        <w:ind w:left="592"/>
      </w:pPr>
      <w:r>
        <w:rPr>
          <w:spacing w:val="-2"/>
        </w:rPr>
        <w:t>假设区域层面某类病种涉及</w:t>
      </w:r>
      <w:r>
        <w:rPr>
          <w:spacing w:val="-59"/>
        </w:rPr>
        <w:t xml:space="preserve"> </w:t>
      </w:r>
      <w:r>
        <w:rPr>
          <w:rFonts w:ascii="Times New Roman" w:hAnsi="Times New Roman" w:eastAsia="Times New Roman" w:cs="Times New Roman"/>
          <w:spacing w:val="-2"/>
        </w:rPr>
        <w:t>k</w:t>
      </w:r>
      <w:r>
        <w:rPr>
          <w:spacing w:val="-2"/>
        </w:rPr>
        <w:t>个（剔除保守治疗）治疗方式</w:t>
      </w:r>
    </w:p>
    <w:p>
      <w:pPr>
        <w:pStyle w:val="7"/>
        <w:spacing w:before="275" w:line="399" w:lineRule="auto"/>
        <w:ind w:right="43"/>
        <w:rPr>
          <w:spacing w:val="-4"/>
        </w:rPr>
      </w:pPr>
      <w:r>
        <w:rPr>
          <w:spacing w:val="-1"/>
        </w:rPr>
        <w:t>（即同类诊断不同的术式操作的组合）构成，每个诊断</w:t>
      </w:r>
      <w:r>
        <w:rPr>
          <w:rFonts w:ascii="Times New Roman" w:hAnsi="Times New Roman" w:eastAsia="Times New Roman" w:cs="Times New Roman"/>
          <w:spacing w:val="-1"/>
        </w:rPr>
        <w:t>+</w:t>
      </w:r>
      <w:r>
        <w:rPr>
          <w:spacing w:val="-1"/>
        </w:rPr>
        <w:t>治疗方式的</w:t>
      </w:r>
      <w:r>
        <w:rPr>
          <w:spacing w:val="-2"/>
        </w:rPr>
        <w:t>分值为</w:t>
      </w:r>
      <w:r>
        <w:rPr>
          <w:spacing w:val="-64"/>
        </w:rPr>
        <w:t xml:space="preserve"> </w:t>
      </w:r>
      <w:r>
        <w:rPr>
          <w:rFonts w:ascii="Times New Roman" w:hAnsi="Times New Roman" w:eastAsia="Times New Roman" w:cs="Times New Roman"/>
          <w:spacing w:val="-2"/>
        </w:rPr>
        <w:t>RW</w:t>
      </w:r>
      <w:r>
        <w:rPr>
          <w:rFonts w:ascii="Times New Roman" w:hAnsi="Times New Roman" w:eastAsia="Times New Roman" w:cs="Times New Roman"/>
          <w:spacing w:val="-2"/>
          <w:position w:val="-3"/>
          <w:sz w:val="18"/>
          <w:szCs w:val="18"/>
        </w:rPr>
        <w:t xml:space="preserve">i </w:t>
      </w:r>
      <w:r>
        <w:rPr>
          <w:spacing w:val="-2"/>
        </w:rPr>
        <w:t>，将这</w:t>
      </w:r>
      <w:r>
        <w:rPr>
          <w:spacing w:val="-70"/>
        </w:rPr>
        <w:t xml:space="preserve"> </w:t>
      </w:r>
      <w:r>
        <w:rPr>
          <w:rFonts w:ascii="Times New Roman" w:hAnsi="Times New Roman" w:eastAsia="Times New Roman" w:cs="Times New Roman"/>
          <w:spacing w:val="-2"/>
        </w:rPr>
        <w:t>k</w:t>
      </w:r>
      <w:r>
        <w:rPr>
          <w:spacing w:val="-2"/>
        </w:rPr>
        <w:t>个诊断</w:t>
      </w:r>
      <w:r>
        <w:rPr>
          <w:rFonts w:ascii="Times New Roman" w:hAnsi="Times New Roman" w:eastAsia="Times New Roman" w:cs="Times New Roman"/>
          <w:spacing w:val="-2"/>
        </w:rPr>
        <w:t>+</w:t>
      </w:r>
      <w:r>
        <w:rPr>
          <w:spacing w:val="-2"/>
        </w:rPr>
        <w:t>治疗方式按照</w:t>
      </w:r>
      <w:r>
        <w:rPr>
          <w:rFonts w:ascii="Times New Roman" w:hAnsi="Times New Roman" w:eastAsia="Times New Roman" w:cs="Times New Roman"/>
          <w:spacing w:val="-2"/>
        </w:rPr>
        <w:t>RW</w:t>
      </w:r>
      <w:r>
        <w:rPr>
          <w:spacing w:val="-2"/>
        </w:rPr>
        <w:t>值从小到大排序，</w:t>
      </w:r>
      <w:r>
        <w:rPr>
          <w:spacing w:val="-5"/>
        </w:rPr>
        <w:t>每个病种组合内的实际病例数分别为</w:t>
      </w:r>
      <w:r>
        <w:rPr>
          <w:spacing w:val="-55"/>
        </w:rPr>
        <w:t xml:space="preserve"> </w:t>
      </w:r>
      <w:r>
        <w:rPr>
          <w:rFonts w:ascii="Times New Roman" w:hAnsi="Times New Roman" w:eastAsia="Times New Roman" w:cs="Times New Roman"/>
          <w:spacing w:val="-5"/>
        </w:rPr>
        <w:t>n</w:t>
      </w:r>
      <w:r>
        <w:rPr>
          <w:rFonts w:ascii="Times New Roman" w:hAnsi="Times New Roman" w:eastAsia="Times New Roman" w:cs="Times New Roman"/>
          <w:spacing w:val="-5"/>
          <w:position w:val="-3"/>
          <w:sz w:val="18"/>
          <w:szCs w:val="18"/>
        </w:rPr>
        <w:t xml:space="preserve">i </w:t>
      </w:r>
      <w:r>
        <w:rPr>
          <w:spacing w:val="-5"/>
        </w:rPr>
        <w:t>，</w:t>
      </w:r>
      <w:r>
        <w:rPr>
          <w:rFonts w:ascii="Times New Roman" w:hAnsi="Times New Roman" w:eastAsia="Times New Roman" w:cs="Times New Roman"/>
          <w:spacing w:val="-5"/>
        </w:rPr>
        <w:t>i=1</w:t>
      </w:r>
      <w:r>
        <w:rPr>
          <w:rFonts w:ascii="Times New Roman" w:hAnsi="Times New Roman" w:eastAsia="Times New Roman" w:cs="Times New Roman"/>
          <w:spacing w:val="-29"/>
        </w:rPr>
        <w:t xml:space="preserve"> </w:t>
      </w:r>
      <w:r>
        <w:rPr>
          <w:spacing w:val="-5"/>
        </w:rPr>
        <w:t>、</w:t>
      </w:r>
      <w:r>
        <w:rPr>
          <w:rFonts w:ascii="Times New Roman" w:hAnsi="Times New Roman" w:eastAsia="Times New Roman" w:cs="Times New Roman"/>
          <w:spacing w:val="-5"/>
        </w:rPr>
        <w:t>2</w:t>
      </w:r>
      <w:r>
        <w:rPr>
          <w:rFonts w:ascii="Times New Roman" w:hAnsi="Times New Roman" w:eastAsia="Times New Roman" w:cs="Times New Roman"/>
          <w:spacing w:val="-29"/>
        </w:rPr>
        <w:t xml:space="preserve"> </w:t>
      </w:r>
      <w:r>
        <w:rPr>
          <w:spacing w:val="-5"/>
        </w:rPr>
        <w:t>、</w:t>
      </w:r>
      <w:r>
        <w:rPr>
          <w:rFonts w:ascii="Times New Roman" w:hAnsi="Times New Roman" w:eastAsia="Times New Roman" w:cs="Times New Roman"/>
          <w:spacing w:val="-5"/>
        </w:rPr>
        <w:t>3</w:t>
      </w:r>
      <w:r>
        <w:rPr>
          <w:spacing w:val="-5"/>
        </w:rPr>
        <w:t>…</w:t>
      </w:r>
      <w:r>
        <w:rPr>
          <w:rFonts w:ascii="Times New Roman" w:hAnsi="Times New Roman" w:eastAsia="Times New Roman" w:cs="Times New Roman"/>
          <w:spacing w:val="-5"/>
        </w:rPr>
        <w:t>k</w:t>
      </w:r>
      <w:r>
        <w:rPr>
          <w:spacing w:val="-5"/>
        </w:rPr>
        <w:t>，然后以</w:t>
      </w:r>
      <w:r>
        <w:rPr>
          <w:spacing w:val="-68"/>
        </w:rPr>
        <w:t xml:space="preserve"> </w:t>
      </w:r>
      <w:r>
        <w:rPr>
          <w:rFonts w:ascii="Times New Roman" w:hAnsi="Times New Roman" w:eastAsia="Times New Roman" w:cs="Times New Roman"/>
          <w:spacing w:val="-5"/>
        </w:rPr>
        <w:t>n</w:t>
      </w:r>
      <w:r>
        <w:rPr>
          <w:rFonts w:ascii="Times New Roman" w:hAnsi="Times New Roman" w:eastAsia="Times New Roman" w:cs="Times New Roman"/>
        </w:rPr>
        <w:t xml:space="preserve"> </w:t>
      </w:r>
      <w:r>
        <w:rPr>
          <w:spacing w:val="-2"/>
        </w:rPr>
        <w:t>值最大的为一组（假设最大值为</w:t>
      </w:r>
      <w:r>
        <w:rPr>
          <w:spacing w:val="-68"/>
        </w:rPr>
        <w:t xml:space="preserve"> </w:t>
      </w:r>
      <w:r>
        <w:rPr>
          <w:rFonts w:ascii="Times New Roman" w:hAnsi="Times New Roman" w:eastAsia="Times New Roman" w:cs="Times New Roman"/>
          <w:spacing w:val="-2"/>
        </w:rPr>
        <w:t>n</w:t>
      </w:r>
      <w:r>
        <w:rPr>
          <w:rFonts w:ascii="Times New Roman" w:hAnsi="Times New Roman" w:eastAsia="Times New Roman" w:cs="Times New Roman"/>
          <w:spacing w:val="-2"/>
          <w:position w:val="-3"/>
          <w:sz w:val="18"/>
          <w:szCs w:val="18"/>
        </w:rPr>
        <w:t xml:space="preserve">j </w:t>
      </w:r>
      <w:r>
        <w:rPr>
          <w:spacing w:val="-2"/>
        </w:rPr>
        <w:t>）为分界</w:t>
      </w:r>
      <w:r>
        <w:rPr>
          <w:rFonts w:hint="eastAsia"/>
          <w:spacing w:val="-2"/>
          <w:lang w:eastAsia="zh-CN"/>
        </w:rPr>
        <w:t>，</w:t>
      </w:r>
      <w:r>
        <w:rPr>
          <w:spacing w:val="-2"/>
        </w:rPr>
        <w:t>将这</w:t>
      </w:r>
      <w:r>
        <w:rPr>
          <w:spacing w:val="-68"/>
        </w:rPr>
        <w:t xml:space="preserve"> </w:t>
      </w:r>
      <w:r>
        <w:rPr>
          <w:rFonts w:ascii="Times New Roman" w:hAnsi="Times New Roman" w:eastAsia="Times New Roman" w:cs="Times New Roman"/>
          <w:spacing w:val="-2"/>
        </w:rPr>
        <w:t>k</w:t>
      </w:r>
      <w:r>
        <w:rPr>
          <w:spacing w:val="-2"/>
        </w:rPr>
        <w:t>个组</w:t>
      </w:r>
      <w:r>
        <w:rPr>
          <w:spacing w:val="-3"/>
        </w:rPr>
        <w:t>合分为两</w:t>
      </w:r>
      <w:r>
        <w:t xml:space="preserve"> </w:t>
      </w:r>
      <w:r>
        <w:rPr>
          <w:spacing w:val="-3"/>
        </w:rPr>
        <w:t>组，其中</w:t>
      </w:r>
      <w:r>
        <w:rPr>
          <w:spacing w:val="-39"/>
        </w:rPr>
        <w:t xml:space="preserve"> </w:t>
      </w:r>
      <w:r>
        <w:rPr>
          <w:rFonts w:ascii="Times New Roman" w:hAnsi="Times New Roman" w:eastAsia="Times New Roman" w:cs="Times New Roman"/>
          <w:spacing w:val="-3"/>
        </w:rPr>
        <w:t>1~j</w:t>
      </w:r>
      <w:r>
        <w:rPr>
          <w:rFonts w:ascii="Times New Roman" w:hAnsi="Times New Roman" w:eastAsia="Times New Roman" w:cs="Times New Roman"/>
          <w:spacing w:val="29"/>
        </w:rPr>
        <w:t xml:space="preserve"> </w:t>
      </w:r>
      <w:r>
        <w:rPr>
          <w:spacing w:val="-3"/>
        </w:rPr>
        <w:t>为一组，我们称之为低资源消耗组</w:t>
      </w:r>
      <w:r>
        <w:rPr>
          <w:spacing w:val="-7"/>
        </w:rPr>
        <w:t>，（</w:t>
      </w:r>
      <w:r>
        <w:rPr>
          <w:rFonts w:ascii="Times New Roman" w:hAnsi="Times New Roman" w:eastAsia="Times New Roman" w:cs="Times New Roman"/>
          <w:spacing w:val="-3"/>
        </w:rPr>
        <w:t>j+1</w:t>
      </w:r>
      <w:r>
        <w:rPr>
          <w:spacing w:val="-3"/>
        </w:rPr>
        <w:t>）</w:t>
      </w:r>
      <w:r>
        <w:rPr>
          <w:rFonts w:ascii="Times New Roman" w:hAnsi="Times New Roman" w:eastAsia="Times New Roman" w:cs="Times New Roman"/>
          <w:spacing w:val="-3"/>
        </w:rPr>
        <w:t>~k</w:t>
      </w:r>
      <w:r>
        <w:rPr>
          <w:rFonts w:ascii="Times New Roman" w:hAnsi="Times New Roman" w:eastAsia="Times New Roman" w:cs="Times New Roman"/>
          <w:spacing w:val="28"/>
        </w:rPr>
        <w:t xml:space="preserve"> </w:t>
      </w:r>
      <w:r>
        <w:rPr>
          <w:spacing w:val="-3"/>
        </w:rPr>
        <w:t>为一</w:t>
      </w:r>
      <w:r>
        <w:t xml:space="preserve"> </w:t>
      </w:r>
      <w:r>
        <w:rPr>
          <w:spacing w:val="-4"/>
        </w:rPr>
        <w:t>组，称之为高资源消耗组。</w:t>
      </w:r>
    </w:p>
    <w:p>
      <w:pPr>
        <w:pStyle w:val="7"/>
        <w:spacing w:before="91" w:line="218" w:lineRule="auto"/>
        <w:ind w:firstLine="536" w:firstLineChars="200"/>
      </w:pPr>
      <w:r>
        <w:rPr>
          <w:rFonts w:hint="eastAsia"/>
          <w:spacing w:val="-6"/>
          <w:lang w:eastAsia="zh-CN"/>
        </w:rPr>
        <w:t>（</w:t>
      </w:r>
      <w:r>
        <w:rPr>
          <w:rFonts w:hint="eastAsia"/>
          <w:spacing w:val="-6"/>
          <w:lang w:val="en-US" w:eastAsia="zh-CN"/>
        </w:rPr>
        <w:t>2）</w:t>
      </w:r>
      <w:r>
        <w:rPr>
          <w:spacing w:val="-6"/>
        </w:rPr>
        <w:t>均衡指数计算</w:t>
      </w:r>
    </w:p>
    <w:p>
      <w:pPr>
        <w:spacing w:line="257" w:lineRule="auto"/>
        <w:rPr>
          <w:rFonts w:ascii="Arial"/>
          <w:sz w:val="21"/>
        </w:rPr>
      </w:pPr>
    </w:p>
    <w:p>
      <w:pPr>
        <w:spacing w:line="805" w:lineRule="exact"/>
        <w:ind w:left="3386"/>
      </w:pPr>
      <w:r>
        <w:pict>
          <v:shape id="_x0000_s1074" o:spid="_x0000_s1074" style="position:absolute;left:0pt;margin-left:70.55pt;margin-top:49.55pt;height:1pt;width:243.1pt;z-index:-251643904;mso-width-relative:page;mso-height-relative:page;" fillcolor="#000000" filled="t" stroked="f" coordsize="4862,20" path="m0,19l434,19,434,0,0,0,0,19xem4426,19l4861,19,4861,0,4426,0,4426,19xe">
            <v:path/>
            <v:fill on="t" focussize="0,0"/>
            <v:stroke on="f"/>
            <v:imagedata o:title=""/>
            <o:lock v:ext="edit"/>
          </v:shape>
        </w:pict>
      </w:r>
      <w:r>
        <w:rPr>
          <w:position w:val="-16"/>
        </w:rPr>
        <w:drawing>
          <wp:inline distT="0" distB="0" distL="0" distR="0">
            <wp:extent cx="1587500" cy="511175"/>
            <wp:effectExtent l="0" t="0" r="3175"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2"/>
                    <a:stretch>
                      <a:fillRect/>
                    </a:stretch>
                  </pic:blipFill>
                  <pic:spPr>
                    <a:xfrm>
                      <a:off x="0" y="0"/>
                      <a:ext cx="1588132" cy="511189"/>
                    </a:xfrm>
                    <a:prstGeom prst="rect">
                      <a:avLst/>
                    </a:prstGeom>
                  </pic:spPr>
                </pic:pic>
              </a:graphicData>
            </a:graphic>
          </wp:inline>
        </w:drawing>
      </w:r>
    </w:p>
    <w:p>
      <w:pPr>
        <w:pStyle w:val="7"/>
        <w:spacing w:before="197" w:line="381" w:lineRule="auto"/>
        <w:ind w:left="31" w:right="245" w:firstLine="560"/>
      </w:pPr>
      <w:r>
        <w:pict>
          <v:shape id="_x0000_s1075" o:spid="_x0000_s1075" style="position:absolute;left:0pt;margin-left:112.55pt;margin-top:40.4pt;height:1pt;width:30.25pt;z-index:-251641856;mso-width-relative:page;mso-height-relative:page;" fillcolor="#000000" filled="t" stroked="f" coordsize="605,20" path="m0,19l604,19,604,0,0,0,0,19xe">
            <v:path/>
            <v:fill on="t" focussize="0,0"/>
            <v:stroke on="f"/>
            <v:imagedata o:title=""/>
            <o:lock v:ext="edit"/>
          </v:shape>
        </w:pict>
      </w:r>
      <w:r>
        <w:pict>
          <v:shape id="_x0000_s1076" o:spid="_x0000_s1076" style="position:absolute;left:0pt;margin-left:0.6pt;margin-top:71.6pt;height:1pt;width:33.25pt;z-index:-251642880;mso-width-relative:page;mso-height-relative:page;" fillcolor="#000000" filled="t" stroked="f" coordsize="665,20" path="m0,19l664,19,664,0,0,0,0,19xe">
            <v:path/>
            <v:fill on="t" focussize="0,0"/>
            <v:stroke on="f"/>
            <v:imagedata o:title=""/>
            <o:lock v:ext="edit"/>
          </v:shape>
        </w:pict>
      </w:r>
      <w:r>
        <w:rPr>
          <w:spacing w:val="-2"/>
        </w:rPr>
        <w:t>其中：</w:t>
      </w:r>
      <w:r>
        <w:rPr>
          <w:rFonts w:ascii="Cambria Math" w:hAnsi="Cambria Math" w:eastAsia="Cambria Math" w:cs="Cambria Math"/>
          <w:spacing w:val="-2"/>
        </w:rPr>
        <w:t>RW</w:t>
      </w:r>
      <w:r>
        <w:rPr>
          <w:rFonts w:ascii="Cambria Math" w:hAnsi="Cambria Math" w:eastAsia="Cambria Math" w:cs="Cambria Math"/>
          <w:spacing w:val="-2"/>
          <w:position w:val="-5"/>
          <w:sz w:val="19"/>
          <w:szCs w:val="19"/>
        </w:rPr>
        <w:t xml:space="preserve">l </w:t>
      </w:r>
      <w:r>
        <w:rPr>
          <w:spacing w:val="-2"/>
        </w:rPr>
        <w:t>为区域低分值组的平均权重值，</w:t>
      </w:r>
      <w:r>
        <w:rPr>
          <w:rFonts w:ascii="Cambria Math" w:hAnsi="Cambria Math" w:eastAsia="Cambria Math" w:cs="Cambria Math"/>
          <w:spacing w:val="-2"/>
        </w:rPr>
        <w:t>RW</w:t>
      </w:r>
      <w:r>
        <w:rPr>
          <w:rFonts w:ascii="Cambria Math" w:hAnsi="Cambria Math" w:eastAsia="Cambria Math" w:cs="Cambria Math"/>
          <w:spacing w:val="-2"/>
          <w:position w:val="-5"/>
          <w:sz w:val="19"/>
          <w:szCs w:val="19"/>
        </w:rPr>
        <w:t xml:space="preserve">h </w:t>
      </w:r>
      <w:r>
        <w:rPr>
          <w:spacing w:val="-2"/>
        </w:rPr>
        <w:t>为区域高分值</w:t>
      </w:r>
      <w:r>
        <w:rPr>
          <w:spacing w:val="-3"/>
        </w:rPr>
        <w:t>组的平均权重值，</w:t>
      </w:r>
      <w:r>
        <w:rPr>
          <w:rFonts w:ascii="Cambria Math" w:hAnsi="Cambria Math" w:eastAsia="Cambria Math" w:cs="Cambria Math"/>
          <w:spacing w:val="-3"/>
        </w:rPr>
        <w:t>sRW</w:t>
      </w:r>
      <w:r>
        <w:rPr>
          <w:rFonts w:ascii="Cambria Math" w:hAnsi="Cambria Math" w:eastAsia="Cambria Math" w:cs="Cambria Math"/>
          <w:spacing w:val="-3"/>
          <w:position w:val="-5"/>
          <w:sz w:val="19"/>
          <w:szCs w:val="19"/>
        </w:rPr>
        <w:t xml:space="preserve">l </w:t>
      </w:r>
      <w:r>
        <w:rPr>
          <w:spacing w:val="-3"/>
        </w:rPr>
        <w:t>为指定医疗机构低分值组的实际权重值，</w:t>
      </w:r>
      <w:r>
        <w:rPr>
          <w:rFonts w:ascii="Cambria Math" w:hAnsi="Cambria Math" w:eastAsia="Cambria Math" w:cs="Cambria Math"/>
          <w:spacing w:val="-3"/>
          <w:position w:val="3"/>
        </w:rPr>
        <w:t>sRW</w:t>
      </w:r>
      <w:r>
        <w:rPr>
          <w:rFonts w:ascii="Cambria Math" w:hAnsi="Cambria Math" w:eastAsia="Cambria Math" w:cs="Cambria Math"/>
          <w:spacing w:val="-3"/>
          <w:position w:val="-2"/>
          <w:sz w:val="19"/>
          <w:szCs w:val="19"/>
        </w:rPr>
        <w:t xml:space="preserve">h </w:t>
      </w:r>
      <w:r>
        <w:rPr>
          <w:spacing w:val="-3"/>
          <w:position w:val="3"/>
        </w:rPr>
        <w:t>为指定医疗机构高分值组的实际权重值。</w:t>
      </w:r>
    </w:p>
    <w:p>
      <w:pPr>
        <w:pStyle w:val="7"/>
        <w:spacing w:before="228" w:line="407" w:lineRule="auto"/>
        <w:ind w:left="29" w:right="148" w:firstLine="559"/>
      </w:pPr>
      <w:r>
        <w:rPr>
          <w:spacing w:val="-1"/>
        </w:rPr>
        <w:t>均衡指数为</w:t>
      </w:r>
      <w:r>
        <w:rPr>
          <w:spacing w:val="-63"/>
        </w:rPr>
        <w:t xml:space="preserve"> </w:t>
      </w:r>
      <w:r>
        <w:rPr>
          <w:rFonts w:ascii="Times New Roman" w:hAnsi="Times New Roman" w:eastAsia="Times New Roman" w:cs="Times New Roman"/>
          <w:spacing w:val="-1"/>
        </w:rPr>
        <w:t>0</w:t>
      </w:r>
      <w:r>
        <w:rPr>
          <w:spacing w:val="-1"/>
        </w:rPr>
        <w:t>，说明该机构收治的高指数和低指数的病例分布</w:t>
      </w:r>
      <w:r>
        <w:rPr>
          <w:spacing w:val="-2"/>
        </w:rPr>
        <w:t>与区域标准分布完全吻合；当</w:t>
      </w:r>
      <w:r>
        <w:rPr>
          <w:spacing w:val="-67"/>
        </w:rPr>
        <w:t xml:space="preserve"> </w:t>
      </w:r>
      <w:r>
        <w:rPr>
          <w:rFonts w:ascii="Times New Roman" w:hAnsi="Times New Roman" w:eastAsia="Times New Roman" w:cs="Times New Roman"/>
          <w:spacing w:val="-2"/>
        </w:rPr>
        <w:t>BI</w:t>
      </w:r>
      <w:r>
        <w:rPr>
          <w:spacing w:val="-2"/>
        </w:rPr>
        <w:t>小于</w:t>
      </w:r>
      <w:r>
        <w:rPr>
          <w:spacing w:val="-63"/>
        </w:rPr>
        <w:t xml:space="preserve"> </w:t>
      </w:r>
      <w:r>
        <w:rPr>
          <w:rFonts w:ascii="Times New Roman" w:hAnsi="Times New Roman" w:eastAsia="Times New Roman" w:cs="Times New Roman"/>
          <w:spacing w:val="-2"/>
        </w:rPr>
        <w:t>0</w:t>
      </w:r>
      <w:r>
        <w:rPr>
          <w:spacing w:val="-2"/>
        </w:rPr>
        <w:t>，则说明该机构的</w:t>
      </w:r>
      <w:r>
        <w:rPr>
          <w:spacing w:val="-3"/>
        </w:rPr>
        <w:t>低指数病</w:t>
      </w:r>
      <w:r>
        <w:t>例高于标准分布；当</w:t>
      </w:r>
      <w:r>
        <w:rPr>
          <w:spacing w:val="-57"/>
        </w:rPr>
        <w:t xml:space="preserve"> </w:t>
      </w:r>
      <w:r>
        <w:rPr>
          <w:rFonts w:ascii="Times New Roman" w:hAnsi="Times New Roman" w:eastAsia="Times New Roman" w:cs="Times New Roman"/>
        </w:rPr>
        <w:t>BI</w:t>
      </w:r>
      <w:r>
        <w:t>大于</w:t>
      </w:r>
      <w:r>
        <w:rPr>
          <w:rFonts w:ascii="Times New Roman" w:hAnsi="Times New Roman" w:eastAsia="Times New Roman" w:cs="Times New Roman"/>
        </w:rPr>
        <w:t>0</w:t>
      </w:r>
      <w:r>
        <w:t>，则说明该机构的高指数病例高于标</w:t>
      </w:r>
      <w:r>
        <w:rPr>
          <w:spacing w:val="-4"/>
        </w:rPr>
        <w:t>准分布。综合横向区域比较中</w:t>
      </w:r>
      <w:r>
        <w:rPr>
          <w:spacing w:val="-64"/>
        </w:rPr>
        <w:t xml:space="preserve"> </w:t>
      </w:r>
      <w:r>
        <w:rPr>
          <w:rFonts w:ascii="Times New Roman" w:hAnsi="Times New Roman" w:eastAsia="Times New Roman" w:cs="Times New Roman"/>
          <w:spacing w:val="-4"/>
        </w:rPr>
        <w:t>BI&gt;0</w:t>
      </w:r>
      <w:r>
        <w:rPr>
          <w:spacing w:val="-4"/>
        </w:rPr>
        <w:t>以及纵向</w:t>
      </w:r>
      <w:r>
        <w:rPr>
          <w:spacing w:val="-65"/>
        </w:rPr>
        <w:t xml:space="preserve"> </w:t>
      </w:r>
      <w:r>
        <w:rPr>
          <w:rFonts w:ascii="Times New Roman" w:hAnsi="Times New Roman" w:eastAsia="Times New Roman" w:cs="Times New Roman"/>
          <w:spacing w:val="-4"/>
        </w:rPr>
        <w:t>BI</w:t>
      </w:r>
      <w:r>
        <w:rPr>
          <w:spacing w:val="-4"/>
        </w:rPr>
        <w:t>同比超出医疗机构</w:t>
      </w:r>
      <w:r>
        <w:rPr>
          <w:spacing w:val="-1"/>
        </w:rPr>
        <w:t>学科发展的合理增长幅度的情况，确定医疗机构的套高问题病种组合，将该病组下的所有病例均作为套高病例纳入高套指数公式进行</w:t>
      </w:r>
      <w:r>
        <w:rPr>
          <w:spacing w:val="-12"/>
        </w:rPr>
        <w:t>计算。</w:t>
      </w:r>
    </w:p>
    <w:p>
      <w:pPr>
        <w:pStyle w:val="7"/>
        <w:spacing w:before="45" w:line="219" w:lineRule="auto"/>
        <w:ind w:firstLine="544" w:firstLineChars="200"/>
      </w:pPr>
      <w:r>
        <w:rPr>
          <w:spacing w:val="-4"/>
        </w:rPr>
        <w:t>（</w:t>
      </w:r>
      <w:r>
        <w:rPr>
          <w:rFonts w:ascii="Times New Roman" w:hAnsi="Times New Roman" w:eastAsia="Times New Roman" w:cs="Times New Roman"/>
          <w:spacing w:val="-4"/>
        </w:rPr>
        <w:t>3</w:t>
      </w:r>
      <w:r>
        <w:rPr>
          <w:spacing w:val="-4"/>
        </w:rPr>
        <w:t>）</w:t>
      </w:r>
      <w:r>
        <w:rPr>
          <w:spacing w:val="-43"/>
        </w:rPr>
        <w:t xml:space="preserve"> </w:t>
      </w:r>
      <w:r>
        <w:rPr>
          <w:spacing w:val="-4"/>
        </w:rPr>
        <w:t>编码套低指数</w:t>
      </w:r>
    </w:p>
    <w:p>
      <w:pPr>
        <w:pStyle w:val="7"/>
        <w:spacing w:before="295" w:line="407" w:lineRule="auto"/>
        <w:ind w:left="29" w:right="7" w:firstLine="562"/>
      </w:pPr>
      <w:r>
        <w:rPr>
          <w:spacing w:val="-4"/>
        </w:rPr>
        <w:t>编码套低问题指医疗机构因诊断漏填、主诊断选择错误、手术漏填、主手术选择错误等问题导致病案进入费用较低病种的情况。编码套低一般是医疗机构对病案学理解不深、工作疏忽等原因导致的。但</w:t>
      </w:r>
      <w:r>
        <w:rPr>
          <w:spacing w:val="-6"/>
        </w:rPr>
        <w:t>在</w:t>
      </w:r>
      <w:r>
        <w:rPr>
          <w:spacing w:val="-66"/>
        </w:rPr>
        <w:t xml:space="preserve"> </w:t>
      </w:r>
      <w:r>
        <w:rPr>
          <w:rFonts w:ascii="Times New Roman" w:hAnsi="Times New Roman" w:eastAsia="Times New Roman" w:cs="Times New Roman"/>
          <w:spacing w:val="-6"/>
        </w:rPr>
        <w:t>DIP</w:t>
      </w:r>
      <w:r>
        <w:rPr>
          <w:spacing w:val="-6"/>
        </w:rPr>
        <w:t>中，也可能存在医疗机构故意套低的行为。</w:t>
      </w:r>
      <w:r>
        <w:rPr>
          <w:spacing w:val="-7"/>
        </w:rPr>
        <w:t>主要是由于技术规</w:t>
      </w:r>
      <w:r>
        <w:rPr>
          <w:spacing w:val="-4"/>
        </w:rPr>
        <w:t>范中设置了对高倍率病例的补偿机制，医疗机构可能故意将某病种中病情较为复杂、资源消耗高出均费较多的病例进行套低，从而使该病</w:t>
      </w:r>
      <w:r>
        <w:rPr>
          <w:spacing w:val="13"/>
        </w:rPr>
        <w:t xml:space="preserve"> </w:t>
      </w:r>
      <w:r>
        <w:rPr>
          <w:spacing w:val="-2"/>
        </w:rPr>
        <w:t>例进入费用较低病组的高倍率病例，进而获得额外的补偿。</w:t>
      </w:r>
    </w:p>
    <w:p>
      <w:pPr>
        <w:pStyle w:val="7"/>
        <w:spacing w:before="91" w:line="233" w:lineRule="auto"/>
        <w:ind w:firstLine="552" w:firstLineChars="200"/>
        <w:rPr>
          <w:rFonts w:ascii="Times New Roman" w:hAnsi="Times New Roman" w:eastAsia="Times New Roman" w:cs="Times New Roman"/>
        </w:rPr>
      </w:pPr>
      <w:r>
        <w:rPr>
          <w:spacing w:val="-2"/>
        </w:rPr>
        <w:t xml:space="preserve">编码套低指数 </w:t>
      </w:r>
      <w:r>
        <w:rPr>
          <w:rFonts w:ascii="Times New Roman" w:hAnsi="Times New Roman" w:eastAsia="Times New Roman" w:cs="Times New Roman"/>
          <w:spacing w:val="-2"/>
        </w:rPr>
        <w:t>=</w:t>
      </w:r>
    </w:p>
    <w:p>
      <w:pPr>
        <w:spacing w:before="283" w:line="187" w:lineRule="auto"/>
        <w:ind w:left="51"/>
        <w:rPr>
          <w:rFonts w:ascii="宋体" w:hAnsi="宋体" w:eastAsia="宋体" w:cs="宋体"/>
          <w:sz w:val="23"/>
          <w:szCs w:val="23"/>
        </w:rPr>
      </w:pPr>
      <w:r>
        <w:rPr>
          <w:rFonts w:ascii="Times New Roman" w:hAnsi="Times New Roman" w:eastAsia="Times New Roman" w:cs="Times New Roman"/>
          <w:spacing w:val="6"/>
          <w:position w:val="-12"/>
          <w:sz w:val="23"/>
          <w:szCs w:val="23"/>
        </w:rPr>
        <w:t>1</w:t>
      </w:r>
      <w:r>
        <w:rPr>
          <w:rFonts w:hint="eastAsia" w:ascii="Times New Roman" w:hAnsi="Times New Roman" w:eastAsia="宋体" w:cs="Times New Roman"/>
          <w:spacing w:val="6"/>
          <w:position w:val="-12"/>
          <w:sz w:val="23"/>
          <w:szCs w:val="23"/>
          <w:lang w:val="en-US" w:eastAsia="zh-CN"/>
        </w:rPr>
        <w:t>-</w:t>
      </w:r>
      <w:r>
        <w:rPr>
          <w:rFonts w:ascii="Times New Roman" w:hAnsi="Times New Roman" w:eastAsia="Times New Roman" w:cs="Times New Roman"/>
          <w:position w:val="-12"/>
          <w:sz w:val="23"/>
          <w:szCs w:val="23"/>
        </w:rPr>
        <w:t>max</w:t>
      </w:r>
      <w:r>
        <w:rPr>
          <w:rFonts w:ascii="宋体" w:hAnsi="宋体" w:eastAsia="宋体" w:cs="宋体"/>
          <w:spacing w:val="6"/>
          <w:position w:val="-12"/>
          <w:sz w:val="23"/>
          <w:szCs w:val="23"/>
        </w:rPr>
        <w:t>（</w:t>
      </w:r>
      <w:r>
        <w:rPr>
          <w:rFonts w:ascii="宋体" w:hAnsi="宋体" w:eastAsia="宋体" w:cs="宋体"/>
          <w:spacing w:val="-73"/>
          <w:position w:val="-12"/>
          <w:sz w:val="23"/>
          <w:szCs w:val="23"/>
        </w:rPr>
        <w:t xml:space="preserve"> </w:t>
      </w:r>
      <w:r>
        <w:rPr>
          <w:rFonts w:ascii="宋体" w:hAnsi="宋体" w:eastAsia="宋体" w:cs="宋体"/>
          <w:spacing w:val="6"/>
          <w:position w:val="2"/>
          <w:sz w:val="23"/>
          <w:szCs w:val="23"/>
          <w:u w:val="single" w:color="auto"/>
        </w:rPr>
        <w:t xml:space="preserve">   医疗机构编码套低问题占比</w:t>
      </w:r>
      <w:r>
        <w:rPr>
          <w:rFonts w:ascii="Times New Roman" w:hAnsi="Times New Roman" w:eastAsia="Times New Roman" w:cs="Times New Roman"/>
          <w:spacing w:val="6"/>
          <w:position w:val="2"/>
          <w:sz w:val="23"/>
          <w:szCs w:val="23"/>
          <w:u w:val="single" w:color="auto"/>
        </w:rPr>
        <w:t>-</w:t>
      </w:r>
      <w:r>
        <w:rPr>
          <w:rFonts w:ascii="Times New Roman" w:hAnsi="Times New Roman" w:eastAsia="Times New Roman" w:cs="Times New Roman"/>
          <w:spacing w:val="-19"/>
          <w:position w:val="2"/>
          <w:sz w:val="23"/>
          <w:szCs w:val="23"/>
          <w:u w:val="single" w:color="auto"/>
        </w:rPr>
        <w:t xml:space="preserve"> </w:t>
      </w:r>
      <w:r>
        <w:rPr>
          <w:rFonts w:ascii="宋体" w:hAnsi="宋体" w:eastAsia="宋体" w:cs="宋体"/>
          <w:spacing w:val="6"/>
          <w:position w:val="2"/>
          <w:sz w:val="23"/>
          <w:szCs w:val="23"/>
          <w:u w:val="single" w:color="auto"/>
        </w:rPr>
        <w:t>编码</w:t>
      </w:r>
      <w:r>
        <w:rPr>
          <w:rFonts w:ascii="宋体" w:hAnsi="宋体" w:eastAsia="宋体" w:cs="宋体"/>
          <w:spacing w:val="5"/>
          <w:position w:val="2"/>
          <w:sz w:val="23"/>
          <w:szCs w:val="23"/>
          <w:u w:val="single" w:color="auto"/>
        </w:rPr>
        <w:t xml:space="preserve">套低问题占比下四分位数   </w:t>
      </w:r>
      <w:r>
        <w:rPr>
          <w:rFonts w:ascii="宋体" w:hAnsi="宋体" w:eastAsia="宋体" w:cs="宋体"/>
          <w:spacing w:val="5"/>
          <w:position w:val="-12"/>
          <w:sz w:val="23"/>
          <w:szCs w:val="23"/>
        </w:rPr>
        <w:t>，</w:t>
      </w:r>
      <w:r>
        <w:rPr>
          <w:rFonts w:ascii="Times New Roman" w:hAnsi="Times New Roman" w:eastAsia="Times New Roman" w:cs="Times New Roman"/>
          <w:spacing w:val="5"/>
          <w:position w:val="-12"/>
          <w:sz w:val="23"/>
          <w:szCs w:val="23"/>
        </w:rPr>
        <w:t>0</w:t>
      </w:r>
      <w:r>
        <w:rPr>
          <w:rFonts w:ascii="宋体" w:hAnsi="宋体" w:eastAsia="宋体" w:cs="宋体"/>
          <w:spacing w:val="5"/>
          <w:position w:val="-12"/>
          <w:sz w:val="23"/>
          <w:szCs w:val="23"/>
        </w:rPr>
        <w:t>）</w:t>
      </w:r>
    </w:p>
    <w:p>
      <w:pPr>
        <w:spacing w:line="198" w:lineRule="auto"/>
        <w:ind w:left="953"/>
        <w:rPr>
          <w:rFonts w:ascii="宋体" w:hAnsi="宋体" w:eastAsia="宋体" w:cs="宋体"/>
          <w:sz w:val="23"/>
          <w:szCs w:val="23"/>
        </w:rPr>
      </w:pPr>
      <w:r>
        <w:rPr>
          <w:rFonts w:ascii="宋体" w:hAnsi="宋体" w:eastAsia="宋体" w:cs="宋体"/>
          <w:spacing w:val="8"/>
          <w:sz w:val="23"/>
          <w:szCs w:val="23"/>
        </w:rPr>
        <w:t>医疗机构编码套低问题占比最大值</w:t>
      </w:r>
      <w:r>
        <w:rPr>
          <w:rFonts w:ascii="宋体" w:hAnsi="宋体" w:eastAsia="宋体" w:cs="宋体"/>
          <w:spacing w:val="-57"/>
          <w:sz w:val="23"/>
          <w:szCs w:val="23"/>
        </w:rPr>
        <w:t xml:space="preserve"> </w:t>
      </w:r>
      <w:r>
        <w:rPr>
          <w:rFonts w:ascii="Times New Roman" w:hAnsi="Times New Roman" w:eastAsia="Times New Roman" w:cs="Times New Roman"/>
          <w:spacing w:val="8"/>
          <w:sz w:val="23"/>
          <w:szCs w:val="23"/>
        </w:rPr>
        <w:t>-</w:t>
      </w:r>
      <w:r>
        <w:rPr>
          <w:rFonts w:ascii="Times New Roman" w:hAnsi="Times New Roman" w:eastAsia="Times New Roman" w:cs="Times New Roman"/>
          <w:spacing w:val="-19"/>
          <w:sz w:val="23"/>
          <w:szCs w:val="23"/>
        </w:rPr>
        <w:t xml:space="preserve"> </w:t>
      </w:r>
      <w:r>
        <w:rPr>
          <w:rFonts w:ascii="宋体" w:hAnsi="宋体" w:eastAsia="宋体" w:cs="宋体"/>
          <w:spacing w:val="8"/>
          <w:sz w:val="23"/>
          <w:szCs w:val="23"/>
        </w:rPr>
        <w:t>编码套低问题占比下四分位数</w:t>
      </w:r>
    </w:p>
    <w:p>
      <w:pPr>
        <w:pStyle w:val="7"/>
        <w:spacing w:before="302" w:line="355" w:lineRule="auto"/>
        <w:ind w:left="32" w:right="77" w:firstLine="564"/>
      </w:pPr>
      <w:r>
        <w:rPr>
          <w:spacing w:val="-4"/>
        </w:rPr>
        <w:t>最终，医疗机构的病案质量指数由三个指数加权得到，具体</w:t>
      </w:r>
      <w:r>
        <w:rPr>
          <w:spacing w:val="-5"/>
        </w:rPr>
        <w:t>权重</w:t>
      </w:r>
      <w:r>
        <w:t xml:space="preserve"> </w:t>
      </w:r>
      <w:r>
        <w:rPr>
          <w:spacing w:val="-19"/>
        </w:rPr>
        <w:t>如下：</w:t>
      </w:r>
    </w:p>
    <w:tbl>
      <w:tblPr>
        <w:tblStyle w:val="31"/>
        <w:tblW w:w="5220" w:type="dxa"/>
        <w:tblInd w:w="15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4"/>
        <w:gridCol w:w="3093"/>
        <w:gridCol w:w="11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64" w:type="dxa"/>
            <w:vAlign w:val="top"/>
          </w:tcPr>
          <w:p>
            <w:pPr>
              <w:spacing w:before="129" w:line="219" w:lineRule="auto"/>
              <w:ind w:left="273"/>
              <w:rPr>
                <w:rFonts w:ascii="仿宋" w:hAnsi="仿宋" w:eastAsia="仿宋" w:cs="仿宋"/>
                <w:sz w:val="22"/>
                <w:szCs w:val="22"/>
              </w:rPr>
            </w:pPr>
            <w:r>
              <w:rPr>
                <w:rFonts w:ascii="仿宋" w:hAnsi="仿宋" w:eastAsia="仿宋" w:cs="仿宋"/>
                <w:spacing w:val="-4"/>
                <w:sz w:val="22"/>
                <w:szCs w:val="22"/>
              </w:rPr>
              <w:t>序号</w:t>
            </w:r>
          </w:p>
        </w:tc>
        <w:tc>
          <w:tcPr>
            <w:tcW w:w="3093" w:type="dxa"/>
            <w:vAlign w:val="top"/>
          </w:tcPr>
          <w:p>
            <w:pPr>
              <w:spacing w:before="129" w:line="219" w:lineRule="auto"/>
              <w:ind w:left="899"/>
              <w:rPr>
                <w:rFonts w:ascii="仿宋" w:hAnsi="仿宋" w:eastAsia="仿宋" w:cs="仿宋"/>
                <w:sz w:val="22"/>
                <w:szCs w:val="22"/>
              </w:rPr>
            </w:pPr>
            <w:r>
              <w:rPr>
                <w:rFonts w:ascii="仿宋" w:hAnsi="仿宋" w:eastAsia="仿宋" w:cs="仿宋"/>
                <w:spacing w:val="-3"/>
                <w:sz w:val="22"/>
                <w:szCs w:val="22"/>
              </w:rPr>
              <w:t>病案质量指数</w:t>
            </w:r>
          </w:p>
        </w:tc>
        <w:tc>
          <w:tcPr>
            <w:tcW w:w="1163" w:type="dxa"/>
            <w:vAlign w:val="top"/>
          </w:tcPr>
          <w:p>
            <w:pPr>
              <w:spacing w:before="129" w:line="219" w:lineRule="auto"/>
              <w:ind w:left="373"/>
              <w:rPr>
                <w:rFonts w:ascii="仿宋" w:hAnsi="仿宋" w:eastAsia="仿宋" w:cs="仿宋"/>
                <w:sz w:val="22"/>
                <w:szCs w:val="22"/>
              </w:rPr>
            </w:pPr>
            <w:r>
              <w:rPr>
                <w:rFonts w:ascii="仿宋" w:hAnsi="仿宋" w:eastAsia="仿宋" w:cs="仿宋"/>
                <w:spacing w:val="-4"/>
                <w:sz w:val="22"/>
                <w:szCs w:val="22"/>
              </w:rPr>
              <w:t>权重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64" w:type="dxa"/>
            <w:vAlign w:val="top"/>
          </w:tcPr>
          <w:p>
            <w:pPr>
              <w:spacing w:before="166" w:line="180" w:lineRule="auto"/>
              <w:ind w:left="449"/>
              <w:rPr>
                <w:rFonts w:ascii="仿宋" w:hAnsi="仿宋" w:eastAsia="仿宋" w:cs="仿宋"/>
                <w:sz w:val="22"/>
                <w:szCs w:val="22"/>
              </w:rPr>
            </w:pPr>
            <w:r>
              <w:rPr>
                <w:rFonts w:ascii="仿宋" w:hAnsi="仿宋" w:eastAsia="仿宋" w:cs="仿宋"/>
                <w:sz w:val="22"/>
                <w:szCs w:val="22"/>
              </w:rPr>
              <w:t>1</w:t>
            </w:r>
          </w:p>
        </w:tc>
        <w:tc>
          <w:tcPr>
            <w:tcW w:w="3093" w:type="dxa"/>
            <w:vAlign w:val="top"/>
          </w:tcPr>
          <w:p>
            <w:pPr>
              <w:spacing w:before="127" w:line="217" w:lineRule="auto"/>
              <w:ind w:left="1015"/>
              <w:rPr>
                <w:rFonts w:ascii="仿宋" w:hAnsi="仿宋" w:eastAsia="仿宋" w:cs="仿宋"/>
                <w:sz w:val="22"/>
                <w:szCs w:val="22"/>
              </w:rPr>
            </w:pPr>
            <w:r>
              <w:rPr>
                <w:rFonts w:ascii="仿宋" w:hAnsi="仿宋" w:eastAsia="仿宋" w:cs="仿宋"/>
                <w:spacing w:val="-4"/>
                <w:sz w:val="22"/>
                <w:szCs w:val="22"/>
              </w:rPr>
              <w:t>合规性指数</w:t>
            </w:r>
          </w:p>
        </w:tc>
        <w:tc>
          <w:tcPr>
            <w:tcW w:w="1163" w:type="dxa"/>
            <w:vAlign w:val="top"/>
          </w:tcPr>
          <w:p>
            <w:pPr>
              <w:spacing w:before="167" w:line="179" w:lineRule="auto"/>
              <w:ind w:left="422"/>
              <w:rPr>
                <w:rFonts w:ascii="仿宋" w:hAnsi="仿宋" w:eastAsia="仿宋" w:cs="仿宋"/>
                <w:sz w:val="22"/>
                <w:szCs w:val="22"/>
              </w:rPr>
            </w:pPr>
            <w:r>
              <w:rPr>
                <w:rFonts w:ascii="仿宋" w:hAnsi="仿宋" w:eastAsia="仿宋" w:cs="仿宋"/>
                <w:spacing w:val="-2"/>
                <w:sz w:val="22"/>
                <w:szCs w:val="22"/>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964" w:type="dxa"/>
            <w:vAlign w:val="top"/>
          </w:tcPr>
          <w:p>
            <w:pPr>
              <w:spacing w:before="167" w:line="179" w:lineRule="auto"/>
              <w:ind w:left="435"/>
              <w:rPr>
                <w:rFonts w:ascii="仿宋" w:hAnsi="仿宋" w:eastAsia="仿宋" w:cs="仿宋"/>
                <w:sz w:val="22"/>
                <w:szCs w:val="22"/>
              </w:rPr>
            </w:pPr>
            <w:r>
              <w:rPr>
                <w:rFonts w:ascii="仿宋" w:hAnsi="仿宋" w:eastAsia="仿宋" w:cs="仿宋"/>
                <w:sz w:val="22"/>
                <w:szCs w:val="22"/>
              </w:rPr>
              <w:t>2</w:t>
            </w:r>
          </w:p>
        </w:tc>
        <w:tc>
          <w:tcPr>
            <w:tcW w:w="3093" w:type="dxa"/>
            <w:vAlign w:val="top"/>
          </w:tcPr>
          <w:p>
            <w:pPr>
              <w:spacing w:before="127" w:line="219" w:lineRule="auto"/>
              <w:ind w:left="900"/>
              <w:rPr>
                <w:rFonts w:ascii="仿宋" w:hAnsi="仿宋" w:eastAsia="仿宋" w:cs="仿宋"/>
                <w:sz w:val="22"/>
                <w:szCs w:val="22"/>
              </w:rPr>
            </w:pPr>
            <w:r>
              <w:rPr>
                <w:rFonts w:ascii="仿宋" w:hAnsi="仿宋" w:eastAsia="仿宋" w:cs="仿宋"/>
                <w:spacing w:val="-3"/>
                <w:sz w:val="22"/>
                <w:szCs w:val="22"/>
              </w:rPr>
              <w:t>编码套高指数</w:t>
            </w:r>
          </w:p>
        </w:tc>
        <w:tc>
          <w:tcPr>
            <w:tcW w:w="1163" w:type="dxa"/>
            <w:vAlign w:val="top"/>
          </w:tcPr>
          <w:p>
            <w:pPr>
              <w:spacing w:before="167" w:line="179" w:lineRule="auto"/>
              <w:ind w:left="422"/>
              <w:rPr>
                <w:rFonts w:ascii="仿宋" w:hAnsi="仿宋" w:eastAsia="仿宋" w:cs="仿宋"/>
                <w:sz w:val="22"/>
                <w:szCs w:val="22"/>
              </w:rPr>
            </w:pPr>
            <w:r>
              <w:rPr>
                <w:rFonts w:ascii="仿宋" w:hAnsi="仿宋" w:eastAsia="仿宋" w:cs="仿宋"/>
                <w:spacing w:val="-2"/>
                <w:sz w:val="22"/>
                <w:szCs w:val="22"/>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64" w:type="dxa"/>
            <w:vAlign w:val="top"/>
          </w:tcPr>
          <w:p>
            <w:pPr>
              <w:spacing w:before="168" w:line="179" w:lineRule="auto"/>
              <w:ind w:left="437"/>
              <w:rPr>
                <w:rFonts w:ascii="仿宋" w:hAnsi="仿宋" w:eastAsia="仿宋" w:cs="仿宋"/>
                <w:sz w:val="22"/>
                <w:szCs w:val="22"/>
              </w:rPr>
            </w:pPr>
            <w:r>
              <w:rPr>
                <w:rFonts w:ascii="仿宋" w:hAnsi="仿宋" w:eastAsia="仿宋" w:cs="仿宋"/>
                <w:sz w:val="22"/>
                <w:szCs w:val="22"/>
              </w:rPr>
              <w:t>3</w:t>
            </w:r>
          </w:p>
        </w:tc>
        <w:tc>
          <w:tcPr>
            <w:tcW w:w="3093" w:type="dxa"/>
            <w:vAlign w:val="top"/>
          </w:tcPr>
          <w:p>
            <w:pPr>
              <w:spacing w:before="128" w:line="219" w:lineRule="auto"/>
              <w:ind w:left="900"/>
              <w:rPr>
                <w:rFonts w:ascii="仿宋" w:hAnsi="仿宋" w:eastAsia="仿宋" w:cs="仿宋"/>
                <w:sz w:val="22"/>
                <w:szCs w:val="22"/>
              </w:rPr>
            </w:pPr>
            <w:r>
              <w:rPr>
                <w:rFonts w:ascii="仿宋" w:hAnsi="仿宋" w:eastAsia="仿宋" w:cs="仿宋"/>
                <w:spacing w:val="-3"/>
                <w:sz w:val="22"/>
                <w:szCs w:val="22"/>
              </w:rPr>
              <w:t>编码套低指数</w:t>
            </w:r>
          </w:p>
        </w:tc>
        <w:tc>
          <w:tcPr>
            <w:tcW w:w="1163" w:type="dxa"/>
            <w:vAlign w:val="top"/>
          </w:tcPr>
          <w:p>
            <w:pPr>
              <w:spacing w:before="168" w:line="179" w:lineRule="auto"/>
              <w:ind w:left="422"/>
              <w:rPr>
                <w:rFonts w:ascii="仿宋" w:hAnsi="仿宋" w:eastAsia="仿宋" w:cs="仿宋"/>
                <w:sz w:val="22"/>
                <w:szCs w:val="22"/>
              </w:rPr>
            </w:pPr>
            <w:r>
              <w:rPr>
                <w:rFonts w:ascii="仿宋" w:hAnsi="仿宋" w:eastAsia="仿宋" w:cs="仿宋"/>
                <w:spacing w:val="-2"/>
                <w:sz w:val="22"/>
                <w:szCs w:val="22"/>
              </w:rPr>
              <w:t>0.5</w:t>
            </w:r>
          </w:p>
        </w:tc>
      </w:tr>
    </w:tbl>
    <w:p>
      <w:pPr>
        <w:spacing w:before="100" w:line="221" w:lineRule="auto"/>
        <w:outlineLvl w:val="9"/>
        <w:rPr>
          <w:rFonts w:ascii="Times New Roman" w:hAnsi="Times New Roman" w:eastAsia="Times New Roman" w:cs="Times New Roman"/>
          <w:b w:val="0"/>
          <w:bCs w:val="0"/>
          <w:spacing w:val="6"/>
          <w:sz w:val="31"/>
          <w:szCs w:val="31"/>
        </w:rPr>
      </w:pPr>
    </w:p>
    <w:p>
      <w:pPr>
        <w:spacing w:before="100" w:line="221" w:lineRule="auto"/>
        <w:outlineLvl w:val="1"/>
        <w:rPr>
          <w:rFonts w:ascii="楷体" w:hAnsi="楷体" w:eastAsia="楷体" w:cs="楷体"/>
          <w:b w:val="0"/>
          <w:bCs w:val="0"/>
          <w:sz w:val="31"/>
          <w:szCs w:val="31"/>
        </w:rPr>
      </w:pPr>
      <w:bookmarkStart w:id="131" w:name="_Toc16126"/>
      <w:r>
        <w:rPr>
          <w:rFonts w:ascii="Times New Roman" w:hAnsi="Times New Roman" w:eastAsia="Times New Roman" w:cs="Times New Roman"/>
          <w:b w:val="0"/>
          <w:bCs w:val="0"/>
          <w:spacing w:val="6"/>
          <w:sz w:val="31"/>
          <w:szCs w:val="31"/>
        </w:rPr>
        <w:t xml:space="preserve">2 </w:t>
      </w:r>
      <w:r>
        <w:rPr>
          <w:rFonts w:ascii="楷体" w:hAnsi="楷体" w:eastAsia="楷体" w:cs="楷体"/>
          <w:b w:val="0"/>
          <w:bCs w:val="0"/>
          <w:spacing w:val="6"/>
          <w:sz w:val="31"/>
          <w:szCs w:val="31"/>
        </w:rPr>
        <w:t>二次入院评分辅助目录</w:t>
      </w:r>
      <w:bookmarkEnd w:id="131"/>
    </w:p>
    <w:p>
      <w:pPr>
        <w:spacing w:line="437" w:lineRule="auto"/>
        <w:rPr>
          <w:rFonts w:ascii="Arial"/>
          <w:sz w:val="21"/>
        </w:rPr>
      </w:pPr>
    </w:p>
    <w:p>
      <w:pPr>
        <w:pStyle w:val="7"/>
        <w:spacing w:before="91" w:line="216" w:lineRule="auto"/>
        <w:ind w:firstLine="552" w:firstLineChars="200"/>
        <w:jc w:val="both"/>
      </w:pPr>
      <w:r>
        <w:rPr>
          <w:spacing w:val="-2"/>
        </w:rPr>
        <w:t>二次入院反映的是相同诊断在区域内再次入院情况，具体分为：</w:t>
      </w:r>
    </w:p>
    <w:p>
      <w:pPr>
        <w:pStyle w:val="7"/>
        <w:spacing w:before="297" w:line="404" w:lineRule="auto"/>
        <w:ind w:left="30" w:right="73" w:firstLine="565"/>
      </w:pPr>
      <w:r>
        <w:rPr>
          <w:spacing w:val="-4"/>
        </w:rPr>
        <w:t>不同级别医院二次入院，包括上级医院转下级医院、下级医院转</w:t>
      </w:r>
      <w:r>
        <w:t xml:space="preserve"> </w:t>
      </w:r>
      <w:r>
        <w:rPr>
          <w:spacing w:val="-4"/>
        </w:rPr>
        <w:t>上级医院的二次入院，上级医院转下级医院是由治疗型医院到康复型医院，属于在疾病治疗不同阶段的功能衔接；下级医院转上级医院可</w:t>
      </w:r>
      <w:r>
        <w:rPr>
          <w:spacing w:val="-6"/>
        </w:rPr>
        <w:t>认为病情有变化或伴有并发症</w:t>
      </w:r>
      <w:r>
        <w:rPr>
          <w:rFonts w:ascii="Times New Roman" w:hAnsi="Times New Roman" w:eastAsia="Times New Roman" w:cs="Times New Roman"/>
          <w:spacing w:val="-6"/>
        </w:rPr>
        <w:t>/</w:t>
      </w:r>
      <w:r>
        <w:rPr>
          <w:spacing w:val="-6"/>
        </w:rPr>
        <w:t>合并症，需要上级医院协助诊治。二者</w:t>
      </w:r>
      <w:r>
        <w:rPr>
          <w:spacing w:val="-2"/>
        </w:rPr>
        <w:t>均符合分级诊疗的医改目标，不作为二次入院率的统计范围。</w:t>
      </w:r>
    </w:p>
    <w:p>
      <w:pPr>
        <w:pStyle w:val="7"/>
        <w:spacing w:before="55" w:line="402" w:lineRule="auto"/>
        <w:ind w:left="30" w:right="73" w:firstLine="592"/>
      </w:pPr>
      <w:r>
        <w:rPr>
          <w:spacing w:val="5"/>
        </w:rPr>
        <w:t>同级医院二次入院针对因相同诊断在同级医院或同一医院再次</w:t>
      </w:r>
      <w:r>
        <w:rPr>
          <w:spacing w:val="-4"/>
        </w:rPr>
        <w:t>入院，按照</w:t>
      </w:r>
      <w:r>
        <w:rPr>
          <w:spacing w:val="-55"/>
        </w:rPr>
        <w:t xml:space="preserve"> </w:t>
      </w:r>
      <w:r>
        <w:rPr>
          <w:rFonts w:ascii="Times New Roman" w:hAnsi="Times New Roman" w:eastAsia="Times New Roman" w:cs="Times New Roman"/>
          <w:spacing w:val="-4"/>
        </w:rPr>
        <w:t>7</w:t>
      </w:r>
      <w:r>
        <w:rPr>
          <w:spacing w:val="-4"/>
        </w:rPr>
        <w:t>天、</w:t>
      </w:r>
      <w:r>
        <w:rPr>
          <w:rFonts w:ascii="Times New Roman" w:hAnsi="Times New Roman" w:eastAsia="Times New Roman" w:cs="Times New Roman"/>
          <w:spacing w:val="-4"/>
        </w:rPr>
        <w:t>14</w:t>
      </w:r>
      <w:r>
        <w:rPr>
          <w:spacing w:val="-4"/>
        </w:rPr>
        <w:t>天、</w:t>
      </w:r>
      <w:r>
        <w:rPr>
          <w:rFonts w:ascii="Times New Roman" w:hAnsi="Times New Roman" w:eastAsia="Times New Roman" w:cs="Times New Roman"/>
          <w:spacing w:val="-4"/>
        </w:rPr>
        <w:t>30</w:t>
      </w:r>
      <w:r>
        <w:rPr>
          <w:spacing w:val="-4"/>
        </w:rPr>
        <w:t>天、</w:t>
      </w:r>
      <w:r>
        <w:rPr>
          <w:rFonts w:ascii="Times New Roman" w:hAnsi="Times New Roman" w:eastAsia="Times New Roman" w:cs="Times New Roman"/>
          <w:spacing w:val="-4"/>
        </w:rPr>
        <w:t>90</w:t>
      </w:r>
      <w:r>
        <w:rPr>
          <w:spacing w:val="-4"/>
        </w:rPr>
        <w:t>天分别进行细化分析，应重点监</w:t>
      </w:r>
      <w:r>
        <w:rPr>
          <w:spacing w:val="-3"/>
        </w:rPr>
        <w:t>管</w:t>
      </w:r>
      <w:r>
        <w:rPr>
          <w:spacing w:val="-53"/>
        </w:rPr>
        <w:t xml:space="preserve"> </w:t>
      </w:r>
      <w:r>
        <w:rPr>
          <w:rFonts w:ascii="Times New Roman" w:hAnsi="Times New Roman" w:eastAsia="Times New Roman" w:cs="Times New Roman"/>
          <w:spacing w:val="-3"/>
        </w:rPr>
        <w:t>7</w:t>
      </w:r>
      <w:r>
        <w:rPr>
          <w:spacing w:val="-3"/>
        </w:rPr>
        <w:t>天内的分解入院，对为患者办理出院的医院进行考核。</w:t>
      </w:r>
      <w:r>
        <w:rPr>
          <w:spacing w:val="-4"/>
        </w:rPr>
        <w:t>基于疾病特征的不同，二次入院发生的概率不同，对于肿瘤等需要定期放、化疗的疾病，二次入院是一个相对普遍的现象，可称之为计划再入院，因此针对二次入院率的计算需要以概率的形式排除不同病种组合计划再入院的影响，对超出平均的部分采取分级的方式设置</w:t>
      </w:r>
      <w:r>
        <w:rPr>
          <w:spacing w:val="9"/>
        </w:rPr>
        <w:t xml:space="preserve"> </w:t>
      </w:r>
      <w:r>
        <w:rPr>
          <w:spacing w:val="-6"/>
        </w:rPr>
        <w:t>权重予以平衡。</w:t>
      </w:r>
    </w:p>
    <w:p>
      <w:pPr>
        <w:pStyle w:val="7"/>
        <w:spacing w:before="43" w:line="218" w:lineRule="auto"/>
        <w:ind w:left="606"/>
      </w:pPr>
      <w:r>
        <w:rPr>
          <w:spacing w:val="-5"/>
        </w:rPr>
        <w:t>（</w:t>
      </w:r>
      <w:r>
        <w:rPr>
          <w:rFonts w:ascii="Times New Roman" w:hAnsi="Times New Roman" w:eastAsia="Times New Roman" w:cs="Times New Roman"/>
          <w:spacing w:val="-5"/>
        </w:rPr>
        <w:t>1</w:t>
      </w:r>
      <w:r>
        <w:rPr>
          <w:spacing w:val="-5"/>
        </w:rPr>
        <w:t>）</w:t>
      </w:r>
      <w:r>
        <w:rPr>
          <w:spacing w:val="-40"/>
        </w:rPr>
        <w:t xml:space="preserve"> </w:t>
      </w:r>
      <w:r>
        <w:rPr>
          <w:spacing w:val="-5"/>
        </w:rPr>
        <w:t>基础值计算</w:t>
      </w:r>
    </w:p>
    <w:p>
      <w:pPr>
        <w:pStyle w:val="7"/>
        <w:spacing w:before="293" w:line="379" w:lineRule="auto"/>
        <w:ind w:left="51" w:right="257" w:firstLine="556"/>
      </w:pPr>
      <w:r>
        <w:rPr>
          <w:spacing w:val="-3"/>
        </w:rPr>
        <w:t>假设一定时期内区域层面某病种某类机构实际病例数为</w:t>
      </w:r>
      <w:r>
        <w:rPr>
          <w:spacing w:val="-69"/>
        </w:rPr>
        <w:t xml:space="preserve"> </w:t>
      </w:r>
      <w:r>
        <w:rPr>
          <w:rFonts w:ascii="Times New Roman" w:hAnsi="Times New Roman" w:eastAsia="Times New Roman" w:cs="Times New Roman"/>
          <w:spacing w:val="-3"/>
        </w:rPr>
        <w:t>n</w:t>
      </w:r>
      <w:r>
        <w:rPr>
          <w:spacing w:val="-3"/>
        </w:rPr>
        <w:t>，因同</w:t>
      </w:r>
      <w:r>
        <w:rPr>
          <w:spacing w:val="-2"/>
        </w:rPr>
        <w:t>一诊断在同一医院非计划再次入院病例数为</w:t>
      </w:r>
      <w:r>
        <w:rPr>
          <w:spacing w:val="-51"/>
        </w:rPr>
        <w:t xml:space="preserve"> </w:t>
      </w:r>
      <w:r>
        <w:rPr>
          <w:rFonts w:ascii="Times New Roman" w:hAnsi="Times New Roman" w:eastAsia="Times New Roman" w:cs="Times New Roman"/>
          <w:spacing w:val="-2"/>
        </w:rPr>
        <w:t>m</w:t>
      </w:r>
      <w:r>
        <w:rPr>
          <w:spacing w:val="-2"/>
        </w:rPr>
        <w:t>。</w:t>
      </w:r>
    </w:p>
    <w:p>
      <w:pPr>
        <w:pStyle w:val="7"/>
        <w:ind w:left="615"/>
      </w:pPr>
      <w:r>
        <w:rPr>
          <w:spacing w:val="-1"/>
        </w:rPr>
        <w:t>二次入院率（</w:t>
      </w:r>
      <w:r>
        <w:rPr>
          <w:rFonts w:ascii="Times New Roman" w:hAnsi="Times New Roman" w:eastAsia="Times New Roman" w:cs="Times New Roman"/>
          <w:spacing w:val="-1"/>
        </w:rPr>
        <w:t>Secondary Admission Rate</w:t>
      </w:r>
      <w:r>
        <w:rPr>
          <w:spacing w:val="5"/>
        </w:rPr>
        <w:t>）：</w:t>
      </w:r>
      <w:r>
        <w:rPr>
          <w:rFonts w:ascii="Cambria Math" w:hAnsi="Cambria Math" w:eastAsia="Cambria Math" w:cs="Cambria Math"/>
          <w:spacing w:val="-1"/>
        </w:rPr>
        <w:t>s</w:t>
      </w:r>
      <w:r>
        <w:rPr>
          <w:rFonts w:ascii="Cambria Math" w:hAnsi="Cambria Math" w:eastAsia="Cambria Math" w:cs="Cambria Math"/>
          <w:spacing w:val="42"/>
        </w:rPr>
        <w:t xml:space="preserve"> </w:t>
      </w:r>
      <w:r>
        <w:rPr>
          <w:rFonts w:ascii="Cambria Math" w:hAnsi="Cambria Math" w:eastAsia="Cambria Math" w:cs="Cambria Math"/>
          <w:spacing w:val="-1"/>
        </w:rPr>
        <w:t>=</w:t>
      </w:r>
      <w:r>
        <w:rPr>
          <w:rFonts w:ascii="Cambria Math" w:hAnsi="Cambria Math" w:eastAsia="Cambria Math" w:cs="Cambria Math"/>
          <w:spacing w:val="16"/>
          <w:w w:val="101"/>
        </w:rPr>
        <w:t xml:space="preserve"> </w:t>
      </w:r>
      <w:r>
        <w:rPr>
          <w:position w:val="-18"/>
        </w:rPr>
        <w:drawing>
          <wp:inline distT="0" distB="0" distL="0" distR="0">
            <wp:extent cx="120015" cy="321310"/>
            <wp:effectExtent l="0" t="0" r="381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3"/>
                    <a:stretch>
                      <a:fillRect/>
                    </a:stretch>
                  </pic:blipFill>
                  <pic:spPr>
                    <a:xfrm>
                      <a:off x="0" y="0"/>
                      <a:ext cx="120396" cy="321564"/>
                    </a:xfrm>
                    <a:prstGeom prst="rect">
                      <a:avLst/>
                    </a:prstGeom>
                  </pic:spPr>
                </pic:pic>
              </a:graphicData>
            </a:graphic>
          </wp:inline>
        </w:drawing>
      </w:r>
    </w:p>
    <w:p>
      <w:pPr>
        <w:pStyle w:val="7"/>
        <w:spacing w:before="216" w:line="219" w:lineRule="auto"/>
        <w:ind w:left="606"/>
      </w:pPr>
      <w:r>
        <w:rPr>
          <w:spacing w:val="-5"/>
        </w:rPr>
        <w:t>（</w:t>
      </w:r>
      <w:r>
        <w:rPr>
          <w:rFonts w:ascii="Times New Roman" w:hAnsi="Times New Roman" w:eastAsia="Times New Roman" w:cs="Times New Roman"/>
          <w:spacing w:val="-5"/>
        </w:rPr>
        <w:t>2</w:t>
      </w:r>
      <w:r>
        <w:rPr>
          <w:spacing w:val="-5"/>
        </w:rPr>
        <w:t>）</w:t>
      </w:r>
      <w:r>
        <w:rPr>
          <w:spacing w:val="-35"/>
        </w:rPr>
        <w:t xml:space="preserve"> </w:t>
      </w:r>
      <w:r>
        <w:rPr>
          <w:spacing w:val="-5"/>
        </w:rPr>
        <w:t>二次入院分级</w:t>
      </w:r>
    </w:p>
    <w:p>
      <w:pPr>
        <w:pStyle w:val="7"/>
        <w:spacing w:before="292" w:line="216" w:lineRule="auto"/>
        <w:ind w:firstLine="804" w:firstLineChars="300"/>
        <w:jc w:val="both"/>
      </w:pPr>
      <w:r>
        <w:rPr>
          <w:spacing w:val="-6"/>
        </w:rPr>
        <w:t>通过对住院病人二次入院率的标准化处理来实现。具体</w:t>
      </w:r>
      <w:r>
        <w:rPr>
          <w:spacing w:val="-7"/>
        </w:rPr>
        <w:t>步骤如下：</w:t>
      </w:r>
    </w:p>
    <w:p>
      <w:pPr>
        <w:pStyle w:val="7"/>
        <w:spacing w:before="252" w:line="374" w:lineRule="exact"/>
        <w:ind w:left="49"/>
      </w:pPr>
      <w:r>
        <w:rPr>
          <w:sz w:val="28"/>
        </w:rPr>
        <w:pict>
          <v:shape id="文本框 23" o:spid="_x0000_s1077" o:spt="202" type="#_x0000_t202" style="position:absolute;left:0pt;margin-left:222.75pt;margin-top:9.45pt;height:25.9pt;width:35.45pt;z-index:251676672;mso-width-relative:page;mso-height-relative:page;" filled="f" stroked="f" coordsize="21600,21600" o:gfxdata="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LBHPdoAAAAJAQAADwAAAAAA&#10;AAABACAAAAAiAAAAZHJzL2Rvd25yZXYueG1sUEsBAhQAFAAAAAgAh07iQNcuFYRKAgAAcwQAAA4A&#10;AAAAAAAAAQAgAAAAKQEAAGRycy9lMm9Eb2MueG1sUEsFBgAAAAAGAAYAWQEAAOUFAAAAAA==&#10;">
            <v:path/>
            <v:fill on="f" focussize="0,0"/>
            <v:stroke on="f" weight="0.5pt"/>
            <v:imagedata o:title=""/>
            <o:lock v:ext="edit" aspectratio="f"/>
            <v:textbox>
              <w:txbxContent>
                <w:p>
                  <w:r>
                    <w:drawing>
                      <wp:inline distT="0" distB="0" distL="114300" distR="114300">
                        <wp:extent cx="327025" cy="248920"/>
                        <wp:effectExtent l="0" t="0" r="6350"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4"/>
                                <a:stretch>
                                  <a:fillRect/>
                                </a:stretch>
                              </pic:blipFill>
                              <pic:spPr>
                                <a:xfrm>
                                  <a:off x="0" y="0"/>
                                  <a:ext cx="327025" cy="248920"/>
                                </a:xfrm>
                                <a:prstGeom prst="rect">
                                  <a:avLst/>
                                </a:prstGeom>
                                <a:noFill/>
                                <a:ln>
                                  <a:noFill/>
                                </a:ln>
                              </pic:spPr>
                            </pic:pic>
                          </a:graphicData>
                        </a:graphic>
                      </wp:inline>
                    </w:drawing>
                  </w:r>
                </w:p>
              </w:txbxContent>
            </v:textbox>
          </v:shape>
        </w:pict>
      </w:r>
      <w:r>
        <w:rPr>
          <w:spacing w:val="-6"/>
          <w:position w:val="-1"/>
        </w:rPr>
        <w:t>对</w:t>
      </w:r>
      <w:r>
        <w:rPr>
          <w:spacing w:val="-18"/>
          <w:position w:val="-1"/>
        </w:rPr>
        <w:t xml:space="preserve"> </w:t>
      </w:r>
      <w:r>
        <w:rPr>
          <w:rFonts w:ascii="Times New Roman" w:hAnsi="Times New Roman" w:eastAsia="Times New Roman" w:cs="Times New Roman"/>
          <w:spacing w:val="-6"/>
          <w:position w:val="-1"/>
        </w:rPr>
        <w:t>S</w:t>
      </w:r>
      <w:r>
        <w:rPr>
          <w:rFonts w:ascii="Times New Roman" w:hAnsi="Times New Roman" w:eastAsia="Times New Roman" w:cs="Times New Roman"/>
          <w:spacing w:val="38"/>
          <w:position w:val="-1"/>
        </w:rPr>
        <w:t xml:space="preserve"> </w:t>
      </w:r>
      <w:r>
        <w:rPr>
          <w:spacing w:val="-6"/>
          <w:position w:val="-1"/>
        </w:rPr>
        <w:t>取对数</w:t>
      </w:r>
      <w:r>
        <w:rPr>
          <w:rFonts w:ascii="Cambria Math" w:hAnsi="Cambria Math" w:eastAsia="Cambria Math" w:cs="Cambria Math"/>
          <w:spacing w:val="-6"/>
          <w:position w:val="-1"/>
        </w:rPr>
        <w:t>ln</w:t>
      </w:r>
      <w:r>
        <w:rPr>
          <w:rFonts w:ascii="Cambria Math" w:hAnsi="Cambria Math" w:eastAsia="Cambria Math" w:cs="Cambria Math"/>
          <w:spacing w:val="25"/>
          <w:position w:val="-1"/>
        </w:rPr>
        <w:t xml:space="preserve"> </w:t>
      </w:r>
      <w:r>
        <w:rPr>
          <w:rFonts w:ascii="Cambria Math" w:hAnsi="Cambria Math" w:eastAsia="Cambria Math" w:cs="Cambria Math"/>
          <w:spacing w:val="-6"/>
          <w:position w:val="-1"/>
        </w:rPr>
        <w:t>(S</w:t>
      </w:r>
      <w:r>
        <w:rPr>
          <w:rFonts w:ascii="Times New Roman" w:hAnsi="Times New Roman" w:eastAsia="Times New Roman" w:cs="Times New Roman"/>
          <w:spacing w:val="-6"/>
          <w:position w:val="-1"/>
        </w:rPr>
        <w:t>)</w:t>
      </w:r>
      <w:r>
        <w:rPr>
          <w:spacing w:val="-6"/>
          <w:position w:val="-1"/>
        </w:rPr>
        <w:t>；计算</w:t>
      </w:r>
      <w:r>
        <w:rPr>
          <w:rFonts w:ascii="Cambria Math" w:hAnsi="Cambria Math" w:eastAsia="Cambria Math" w:cs="Cambria Math"/>
          <w:spacing w:val="-6"/>
          <w:position w:val="-1"/>
        </w:rPr>
        <w:t>ln</w:t>
      </w:r>
      <w:r>
        <w:rPr>
          <w:rFonts w:ascii="Cambria Math" w:hAnsi="Cambria Math" w:eastAsia="Cambria Math" w:cs="Cambria Math"/>
          <w:spacing w:val="25"/>
          <w:position w:val="-1"/>
        </w:rPr>
        <w:t xml:space="preserve"> </w:t>
      </w:r>
      <w:r>
        <w:rPr>
          <w:rFonts w:ascii="Cambria Math" w:hAnsi="Cambria Math" w:eastAsia="Cambria Math" w:cs="Cambria Math"/>
          <w:spacing w:val="-6"/>
          <w:position w:val="-1"/>
        </w:rPr>
        <w:t>(S)</w:t>
      </w:r>
      <w:r>
        <w:rPr>
          <w:spacing w:val="-6"/>
          <w:position w:val="-1"/>
        </w:rPr>
        <w:t>的均</w:t>
      </w:r>
      <w:r>
        <w:t>值</w:t>
      </w:r>
      <w:r>
        <w:rPr>
          <w:rFonts w:hint="eastAsia"/>
          <w:lang w:val="en-US" w:eastAsia="zh-CN"/>
        </w:rPr>
        <w:t xml:space="preserve">    </w:t>
      </w:r>
      <w:r>
        <w:t>和</w:t>
      </w:r>
      <w:r>
        <w:rPr>
          <w:spacing w:val="-6"/>
          <w:position w:val="-1"/>
        </w:rPr>
        <w:t>标准差</w:t>
      </w:r>
      <w:r>
        <w:rPr>
          <w:rFonts w:ascii="Cambria Math" w:hAnsi="Cambria Math" w:eastAsia="Cambria Math" w:cs="Cambria Math"/>
          <w:spacing w:val="-6"/>
          <w:position w:val="-1"/>
        </w:rPr>
        <w:t>σ</w:t>
      </w:r>
      <w:r>
        <w:rPr>
          <w:rFonts w:hint="eastAsia" w:ascii="Cambria Math" w:hAnsi="Cambria Math" w:cs="Cambria Math"/>
          <w:spacing w:val="-6"/>
          <w:position w:val="-1"/>
          <w:lang w:eastAsia="zh-CN"/>
        </w:rPr>
        <w:t>；</w:t>
      </w:r>
      <w:r>
        <w:rPr>
          <w:spacing w:val="-6"/>
          <w:position w:val="-1"/>
        </w:rPr>
        <w:t>计算二次入院</w:t>
      </w:r>
    </w:p>
    <w:p>
      <w:pPr>
        <w:pStyle w:val="7"/>
        <w:spacing w:before="294" w:line="219" w:lineRule="auto"/>
        <w:ind w:left="50"/>
      </w:pPr>
      <w:r>
        <w:rPr>
          <w:sz w:val="28"/>
        </w:rPr>
        <w:pict>
          <v:shape id="文本框 17" o:spid="_x0000_s1078" o:spt="202" type="#_x0000_t202" style="position:absolute;left:0pt;margin-left:-5.1pt;margin-top:29.2pt;height:153.75pt;width:432.65pt;z-index:251675648;mso-width-relative:page;mso-height-relative:page;" fillcolor="#FFFFFF" filled="t" stroked="f" coordsize="21600,21600" o:gfxdata="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TEZ&#10;+NYAAAAKAQAADwAAAAAAAAABACAAAAAiAAAAZHJzL2Rvd25yZXYueG1sUEsBAhQAFAAAAAgAh07i&#10;QO5TcZ5dAgAAngQAAA4AAAAAAAAAAQAgAAAAJQEAAGRycy9lMm9Eb2MueG1sUEsFBgAAAAAGAAYA&#10;WQEAAPQFAAAAAA==&#10;">
            <v:path/>
            <v:fill on="t" focussize="0,0"/>
            <v:stroke on="f" weight="0.5pt"/>
            <v:imagedata o:title=""/>
            <o:lock v:ext="edit" aspectratio="f"/>
            <v:textbox>
              <w:txbxContent>
                <w:p>
                  <w:r>
                    <w:drawing>
                      <wp:inline distT="0" distB="0" distL="114300" distR="114300">
                        <wp:extent cx="5301615" cy="1863725"/>
                        <wp:effectExtent l="0" t="0" r="3810" b="31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5"/>
                                <a:stretch>
                                  <a:fillRect/>
                                </a:stretch>
                              </pic:blipFill>
                              <pic:spPr>
                                <a:xfrm>
                                  <a:off x="0" y="0"/>
                                  <a:ext cx="5301615" cy="1863725"/>
                                </a:xfrm>
                                <a:prstGeom prst="rect">
                                  <a:avLst/>
                                </a:prstGeom>
                                <a:noFill/>
                                <a:ln>
                                  <a:noFill/>
                                </a:ln>
                              </pic:spPr>
                            </pic:pic>
                          </a:graphicData>
                        </a:graphic>
                      </wp:inline>
                    </w:drawing>
                  </w:r>
                </w:p>
              </w:txbxContent>
            </v:textbox>
          </v:shape>
        </w:pict>
      </w:r>
      <w:r>
        <w:rPr>
          <w:spacing w:val="-4"/>
        </w:rPr>
        <w:t>分级概率：</w:t>
      </w:r>
    </w:p>
    <w:p>
      <w:pPr>
        <w:spacing w:line="121" w:lineRule="exact"/>
      </w:pPr>
    </w:p>
    <w:tbl>
      <w:tblPr>
        <w:tblStyle w:val="31"/>
        <w:tblW w:w="83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3258"/>
        <w:gridCol w:w="38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276" w:type="dxa"/>
            <w:vAlign w:val="top"/>
          </w:tcPr>
          <w:p>
            <w:pPr>
              <w:spacing w:before="129" w:line="219" w:lineRule="auto"/>
              <w:ind w:left="211"/>
              <w:rPr>
                <w:rFonts w:ascii="仿宋" w:hAnsi="仿宋" w:eastAsia="仿宋" w:cs="仿宋"/>
                <w:sz w:val="22"/>
                <w:szCs w:val="22"/>
              </w:rPr>
            </w:pPr>
            <w:r>
              <w:rPr>
                <w:rFonts w:ascii="仿宋" w:hAnsi="仿宋" w:eastAsia="仿宋" w:cs="仿宋"/>
                <w:spacing w:val="-3"/>
                <w:sz w:val="22"/>
                <w:szCs w:val="22"/>
              </w:rPr>
              <w:t>分级序号</w:t>
            </w:r>
          </w:p>
        </w:tc>
        <w:tc>
          <w:tcPr>
            <w:tcW w:w="3258" w:type="dxa"/>
            <w:vAlign w:val="top"/>
          </w:tcPr>
          <w:p>
            <w:pPr>
              <w:spacing w:before="129" w:line="222" w:lineRule="auto"/>
              <w:ind w:left="1424"/>
              <w:rPr>
                <w:rFonts w:ascii="仿宋" w:hAnsi="仿宋" w:eastAsia="仿宋" w:cs="仿宋"/>
                <w:sz w:val="22"/>
                <w:szCs w:val="22"/>
              </w:rPr>
            </w:pPr>
            <w:r>
              <w:rPr>
                <w:rFonts w:ascii="仿宋" w:hAnsi="仿宋" w:eastAsia="仿宋" w:cs="仿宋"/>
                <w:spacing w:val="-5"/>
                <w:sz w:val="22"/>
                <w:szCs w:val="22"/>
              </w:rPr>
              <w:t>定义</w:t>
            </w:r>
          </w:p>
        </w:tc>
        <w:tc>
          <w:tcPr>
            <w:tcW w:w="3831" w:type="dxa"/>
            <w:vAlign w:val="top"/>
          </w:tcPr>
          <w:p>
            <w:pPr>
              <w:spacing w:before="129" w:line="220" w:lineRule="auto"/>
              <w:ind w:left="1707"/>
              <w:rPr>
                <w:rFonts w:ascii="仿宋" w:hAnsi="仿宋" w:eastAsia="仿宋" w:cs="仿宋"/>
                <w:sz w:val="22"/>
                <w:szCs w:val="22"/>
              </w:rPr>
            </w:pPr>
            <w:r>
              <w:rPr>
                <w:rFonts w:ascii="仿宋" w:hAnsi="仿宋" w:eastAsia="仿宋" w:cs="仿宋"/>
                <w:spacing w:val="-4"/>
                <w:sz w:val="22"/>
                <w:szCs w:val="22"/>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Align w:val="top"/>
          </w:tcPr>
          <w:p>
            <w:pPr>
              <w:spacing w:before="165" w:line="187" w:lineRule="auto"/>
              <w:ind w:left="58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3258" w:type="dxa"/>
            <w:vAlign w:val="top"/>
          </w:tcPr>
          <w:p>
            <w:pPr>
              <w:pStyle w:val="33"/>
              <w:spacing w:before="98" w:line="222" w:lineRule="auto"/>
              <w:ind w:left="744"/>
            </w:pPr>
            <w:r>
              <w:rPr>
                <w:spacing w:val="-3"/>
                <w:position w:val="-2"/>
              </w:rPr>
              <w:t>ln(s)</w:t>
            </w:r>
            <w:r>
              <w:rPr>
                <w:spacing w:val="33"/>
                <w:position w:val="-2"/>
              </w:rPr>
              <w:t xml:space="preserve"> </w:t>
            </w:r>
            <w:r>
              <w:rPr>
                <w:spacing w:val="-3"/>
                <w:position w:val="-2"/>
              </w:rPr>
              <w:t>&lt;</w:t>
            </w:r>
            <w:r>
              <w:rPr>
                <w:spacing w:val="12"/>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275" cy="172085"/>
                  <wp:effectExtent l="0" t="0" r="6350" b="889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6"/>
                          <a:stretch>
                            <a:fillRect/>
                          </a:stretch>
                        </pic:blipFill>
                        <pic:spPr>
                          <a:xfrm>
                            <a:off x="0" y="0"/>
                            <a:ext cx="41296" cy="172211"/>
                          </a:xfrm>
                          <a:prstGeom prst="rect">
                            <a:avLst/>
                          </a:prstGeom>
                        </pic:spPr>
                      </pic:pic>
                    </a:graphicData>
                  </a:graphic>
                </wp:inline>
              </w:drawing>
            </w:r>
            <w:r>
              <w:fldChar w:fldCharType="begin"/>
            </w:r>
            <w:r>
              <w:instrText xml:space="preserve">EQ \* jc3 \* hps22 \o\al(\s\up 1(̅̅),</w:instrText>
            </w:r>
            <w:r>
              <w:rPr>
                <w:w w:val="106"/>
                <w:position w:val="-2"/>
              </w:rPr>
              <w:instrText xml:space="preserve">s</w:instrText>
            </w:r>
            <w:r>
              <w:instrText xml:space="preserve">)</w:instrText>
            </w:r>
            <w:r>
              <w:fldChar w:fldCharType="end"/>
            </w:r>
            <w:r>
              <w:rPr>
                <w:position w:val="-6"/>
              </w:rPr>
              <w:drawing>
                <wp:inline distT="0" distB="0" distL="0" distR="0">
                  <wp:extent cx="41910" cy="172085"/>
                  <wp:effectExtent l="0" t="0" r="5715" b="889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7"/>
                          <a:stretch>
                            <a:fillRect/>
                          </a:stretch>
                        </pic:blipFill>
                        <pic:spPr>
                          <a:xfrm>
                            <a:off x="0" y="0"/>
                            <a:ext cx="41944" cy="172211"/>
                          </a:xfrm>
                          <a:prstGeom prst="rect">
                            <a:avLst/>
                          </a:prstGeom>
                        </pic:spPr>
                      </pic:pic>
                    </a:graphicData>
                  </a:graphic>
                </wp:inline>
              </w:drawing>
            </w:r>
            <w:r>
              <w:rPr>
                <w:spacing w:val="15"/>
                <w:position w:val="-2"/>
              </w:rPr>
              <w:t xml:space="preserve"> </w:t>
            </w:r>
            <w:r>
              <w:rPr>
                <w:spacing w:val="-3"/>
                <w:position w:val="-2"/>
              </w:rPr>
              <w:t>−</w:t>
            </w:r>
            <w:r>
              <w:rPr>
                <w:spacing w:val="14"/>
                <w:w w:val="101"/>
                <w:position w:val="-2"/>
              </w:rPr>
              <w:t xml:space="preserve"> </w:t>
            </w:r>
            <w:r>
              <w:rPr>
                <w:spacing w:val="-3"/>
                <w:position w:val="-2"/>
              </w:rPr>
              <w:t>2σ</w:t>
            </w:r>
          </w:p>
        </w:tc>
        <w:tc>
          <w:tcPr>
            <w:tcW w:w="3831" w:type="dxa"/>
            <w:vAlign w:val="top"/>
          </w:tcPr>
          <w:p>
            <w:pPr>
              <w:spacing w:before="125" w:line="219" w:lineRule="auto"/>
              <w:ind w:left="935"/>
              <w:rPr>
                <w:rFonts w:ascii="仿宋" w:hAnsi="仿宋" w:eastAsia="仿宋" w:cs="仿宋"/>
                <w:sz w:val="22"/>
                <w:szCs w:val="22"/>
              </w:rPr>
            </w:pPr>
            <w:r>
              <w:rPr>
                <w:rFonts w:ascii="仿宋" w:hAnsi="仿宋" w:eastAsia="仿宋" w:cs="仿宋"/>
                <w:spacing w:val="-2"/>
                <w:sz w:val="22"/>
                <w:szCs w:val="22"/>
              </w:rPr>
              <w:t>极低概率二次入院组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Align w:val="top"/>
          </w:tcPr>
          <w:p>
            <w:pPr>
              <w:spacing w:before="167" w:line="187" w:lineRule="auto"/>
              <w:ind w:left="60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258" w:type="dxa"/>
            <w:vAlign w:val="top"/>
          </w:tcPr>
          <w:p>
            <w:pPr>
              <w:pStyle w:val="33"/>
              <w:spacing w:before="99" w:line="222" w:lineRule="auto"/>
              <w:ind w:left="804"/>
            </w:pPr>
            <w:r>
              <w:rPr>
                <w:spacing w:val="-2"/>
                <w:position w:val="-2"/>
              </w:rPr>
              <w:t>ln(s)</w:t>
            </w:r>
            <w:r>
              <w:rPr>
                <w:spacing w:val="32"/>
                <w:position w:val="-2"/>
              </w:rPr>
              <w:t xml:space="preserve"> </w:t>
            </w:r>
            <w:r>
              <w:rPr>
                <w:spacing w:val="-2"/>
                <w:position w:val="-2"/>
              </w:rPr>
              <w:t>&lt;</w:t>
            </w:r>
            <w:r>
              <w:rPr>
                <w:spacing w:val="12"/>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275" cy="172085"/>
                  <wp:effectExtent l="0" t="0" r="6350" b="889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6"/>
                          <a:stretch>
                            <a:fillRect/>
                          </a:stretch>
                        </pic:blipFill>
                        <pic:spPr>
                          <a:xfrm>
                            <a:off x="0" y="0"/>
                            <a:ext cx="41296" cy="172211"/>
                          </a:xfrm>
                          <a:prstGeom prst="rect">
                            <a:avLst/>
                          </a:prstGeom>
                        </pic:spPr>
                      </pic:pic>
                    </a:graphicData>
                  </a:graphic>
                </wp:inline>
              </w:drawing>
            </w:r>
            <w:r>
              <w:fldChar w:fldCharType="begin"/>
            </w:r>
            <w:r>
              <w:instrText xml:space="preserve">EQ \* jc3 \* hps22 \o\al(\s\up 1(̅̅),</w:instrText>
            </w:r>
            <w:r>
              <w:rPr>
                <w:w w:val="106"/>
                <w:position w:val="-2"/>
              </w:rPr>
              <w:instrText xml:space="preserve">s</w:instrText>
            </w:r>
            <w:r>
              <w:instrText xml:space="preserve">)</w:instrText>
            </w:r>
            <w:r>
              <w:fldChar w:fldCharType="end"/>
            </w:r>
            <w:r>
              <w:rPr>
                <w:position w:val="-6"/>
              </w:rPr>
              <w:drawing>
                <wp:inline distT="0" distB="0" distL="0" distR="0">
                  <wp:extent cx="41910" cy="172085"/>
                  <wp:effectExtent l="0" t="0" r="5715" b="889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7"/>
                          <a:stretch>
                            <a:fillRect/>
                          </a:stretch>
                        </pic:blipFill>
                        <pic:spPr>
                          <a:xfrm>
                            <a:off x="0" y="0"/>
                            <a:ext cx="41944" cy="172211"/>
                          </a:xfrm>
                          <a:prstGeom prst="rect">
                            <a:avLst/>
                          </a:prstGeom>
                        </pic:spPr>
                      </pic:pic>
                    </a:graphicData>
                  </a:graphic>
                </wp:inline>
              </w:drawing>
            </w:r>
            <w:r>
              <w:rPr>
                <w:spacing w:val="15"/>
                <w:position w:val="-2"/>
              </w:rPr>
              <w:t xml:space="preserve"> </w:t>
            </w:r>
            <w:r>
              <w:rPr>
                <w:spacing w:val="-2"/>
                <w:position w:val="-2"/>
              </w:rPr>
              <w:t>−</w:t>
            </w:r>
            <w:r>
              <w:rPr>
                <w:spacing w:val="10"/>
                <w:position w:val="-2"/>
              </w:rPr>
              <w:t xml:space="preserve"> </w:t>
            </w:r>
            <w:r>
              <w:rPr>
                <w:spacing w:val="-2"/>
                <w:position w:val="-2"/>
              </w:rPr>
              <w:t>σ</w:t>
            </w:r>
          </w:p>
        </w:tc>
        <w:tc>
          <w:tcPr>
            <w:tcW w:w="3831" w:type="dxa"/>
            <w:vAlign w:val="top"/>
          </w:tcPr>
          <w:p>
            <w:pPr>
              <w:spacing w:before="126" w:line="219" w:lineRule="auto"/>
              <w:ind w:left="1046"/>
              <w:rPr>
                <w:rFonts w:ascii="仿宋" w:hAnsi="仿宋" w:eastAsia="仿宋" w:cs="仿宋"/>
                <w:sz w:val="22"/>
                <w:szCs w:val="22"/>
              </w:rPr>
            </w:pPr>
            <w:r>
              <w:rPr>
                <w:rFonts w:ascii="仿宋" w:hAnsi="仿宋" w:eastAsia="仿宋" w:cs="仿宋"/>
                <w:spacing w:val="-2"/>
                <w:sz w:val="22"/>
                <w:szCs w:val="22"/>
              </w:rPr>
              <w:t>低概率二次入院组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276" w:type="dxa"/>
            <w:vAlign w:val="top"/>
          </w:tcPr>
          <w:p>
            <w:pPr>
              <w:spacing w:before="170" w:line="187" w:lineRule="auto"/>
              <w:ind w:left="58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258" w:type="dxa"/>
            <w:vAlign w:val="top"/>
          </w:tcPr>
          <w:p>
            <w:pPr>
              <w:pStyle w:val="33"/>
              <w:spacing w:before="102" w:line="222" w:lineRule="auto"/>
              <w:ind w:left="410"/>
            </w:pP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275" cy="172085"/>
                  <wp:effectExtent l="0" t="0" r="6350" b="889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8"/>
                          <a:stretch>
                            <a:fillRect/>
                          </a:stretch>
                        </pic:blipFill>
                        <pic:spPr>
                          <a:xfrm>
                            <a:off x="0" y="0"/>
                            <a:ext cx="41296" cy="172211"/>
                          </a:xfrm>
                          <a:prstGeom prst="rect">
                            <a:avLst/>
                          </a:prstGeom>
                        </pic:spPr>
                      </pic:pic>
                    </a:graphicData>
                  </a:graphic>
                </wp:inline>
              </w:drawing>
            </w:r>
            <w:r>
              <w:fldChar w:fldCharType="begin"/>
            </w:r>
            <w:r>
              <w:instrText xml:space="preserve">EQ \* jc3 \* hps22 \o\al(\s\up 1(̅̅),</w:instrText>
            </w:r>
            <w:r>
              <w:rPr>
                <w:w w:val="107"/>
                <w:position w:val="-2"/>
              </w:rPr>
              <w:instrText xml:space="preserve">s</w:instrText>
            </w:r>
            <w:r>
              <w:instrText xml:space="preserve">)</w:instrText>
            </w:r>
            <w:r>
              <w:fldChar w:fldCharType="end"/>
            </w:r>
            <w:r>
              <w:rPr>
                <w:position w:val="-6"/>
              </w:rPr>
              <w:drawing>
                <wp:inline distT="0" distB="0" distL="0" distR="0">
                  <wp:extent cx="41910" cy="172085"/>
                  <wp:effectExtent l="0" t="0" r="5715" b="889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9"/>
                          <a:stretch>
                            <a:fillRect/>
                          </a:stretch>
                        </pic:blipFill>
                        <pic:spPr>
                          <a:xfrm>
                            <a:off x="0" y="0"/>
                            <a:ext cx="41943" cy="172211"/>
                          </a:xfrm>
                          <a:prstGeom prst="rect">
                            <a:avLst/>
                          </a:prstGeom>
                        </pic:spPr>
                      </pic:pic>
                    </a:graphicData>
                  </a:graphic>
                </wp:inline>
              </w:drawing>
            </w:r>
            <w:r>
              <w:rPr>
                <w:spacing w:val="20"/>
                <w:w w:val="101"/>
                <w:position w:val="-2"/>
              </w:rPr>
              <w:t xml:space="preserve"> </w:t>
            </w:r>
            <w:r>
              <w:rPr>
                <w:spacing w:val="-4"/>
                <w:position w:val="-2"/>
              </w:rPr>
              <w:t>−</w:t>
            </w:r>
            <w:r>
              <w:rPr>
                <w:spacing w:val="10"/>
                <w:position w:val="-2"/>
              </w:rPr>
              <w:t xml:space="preserve"> </w:t>
            </w:r>
            <w:r>
              <w:rPr>
                <w:spacing w:val="-4"/>
                <w:position w:val="-2"/>
              </w:rPr>
              <w:t>σ</w:t>
            </w:r>
            <w:r>
              <w:rPr>
                <w:spacing w:val="33"/>
                <w:position w:val="-2"/>
              </w:rPr>
              <w:t xml:space="preserve"> </w:t>
            </w:r>
            <w:r>
              <w:rPr>
                <w:spacing w:val="-4"/>
                <w:position w:val="-2"/>
              </w:rPr>
              <w:t>≤</w:t>
            </w:r>
            <w:r>
              <w:rPr>
                <w:spacing w:val="18"/>
                <w:w w:val="101"/>
                <w:position w:val="-2"/>
              </w:rPr>
              <w:t xml:space="preserve"> </w:t>
            </w:r>
            <w:r>
              <w:rPr>
                <w:spacing w:val="-4"/>
                <w:position w:val="-2"/>
              </w:rPr>
              <w:t>ln(s)</w:t>
            </w:r>
            <w:r>
              <w:rPr>
                <w:spacing w:val="25"/>
                <w:position w:val="-2"/>
              </w:rPr>
              <w:t xml:space="preserve"> </w:t>
            </w:r>
            <w:r>
              <w:rPr>
                <w:spacing w:val="-4"/>
                <w:position w:val="-2"/>
              </w:rPr>
              <w:t>&lt;</w:t>
            </w:r>
            <w:r>
              <w:rPr>
                <w:spacing w:val="14"/>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275" cy="172085"/>
                  <wp:effectExtent l="0" t="0" r="6350" b="889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0"/>
                          <a:stretch>
                            <a:fillRect/>
                          </a:stretch>
                        </pic:blipFill>
                        <pic:spPr>
                          <a:xfrm>
                            <a:off x="0" y="0"/>
                            <a:ext cx="41296" cy="172211"/>
                          </a:xfrm>
                          <a:prstGeom prst="rect">
                            <a:avLst/>
                          </a:prstGeom>
                        </pic:spPr>
                      </pic:pic>
                    </a:graphicData>
                  </a:graphic>
                </wp:inline>
              </w:drawing>
            </w:r>
            <w:r>
              <w:fldChar w:fldCharType="begin"/>
            </w:r>
            <w:r>
              <w:instrText xml:space="preserve">EQ \* jc3 \* hps22 \o\al(\s\up 1(̅̅),</w:instrText>
            </w:r>
            <w:r>
              <w:rPr>
                <w:w w:val="106"/>
                <w:position w:val="-2"/>
              </w:rPr>
              <w:instrText xml:space="preserve">s</w:instrText>
            </w:r>
            <w:r>
              <w:instrText xml:space="preserve">)</w:instrText>
            </w:r>
            <w:r>
              <w:fldChar w:fldCharType="end"/>
            </w:r>
            <w:r>
              <w:rPr>
                <w:position w:val="-6"/>
              </w:rPr>
              <w:drawing>
                <wp:inline distT="0" distB="0" distL="0" distR="0">
                  <wp:extent cx="41910" cy="172085"/>
                  <wp:effectExtent l="0" t="0" r="5715" b="889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1"/>
                          <a:stretch>
                            <a:fillRect/>
                          </a:stretch>
                        </pic:blipFill>
                        <pic:spPr>
                          <a:xfrm>
                            <a:off x="0" y="0"/>
                            <a:ext cx="41944" cy="172211"/>
                          </a:xfrm>
                          <a:prstGeom prst="rect">
                            <a:avLst/>
                          </a:prstGeom>
                        </pic:spPr>
                      </pic:pic>
                    </a:graphicData>
                  </a:graphic>
                </wp:inline>
              </w:drawing>
            </w:r>
          </w:p>
        </w:tc>
        <w:tc>
          <w:tcPr>
            <w:tcW w:w="3831" w:type="dxa"/>
            <w:vAlign w:val="top"/>
          </w:tcPr>
          <w:p>
            <w:pPr>
              <w:spacing w:before="129" w:line="219" w:lineRule="auto"/>
              <w:ind w:left="964"/>
              <w:rPr>
                <w:rFonts w:ascii="仿宋" w:hAnsi="仿宋" w:eastAsia="仿宋" w:cs="仿宋"/>
                <w:sz w:val="22"/>
                <w:szCs w:val="22"/>
              </w:rPr>
            </w:pPr>
            <w:r>
              <w:rPr>
                <w:rFonts w:ascii="仿宋" w:hAnsi="仿宋" w:eastAsia="仿宋" w:cs="仿宋"/>
                <w:spacing w:val="-5"/>
                <w:sz w:val="22"/>
                <w:szCs w:val="22"/>
              </w:rPr>
              <w:t>中低概率二次入院组</w:t>
            </w:r>
          </w:p>
        </w:tc>
      </w:tr>
    </w:tbl>
    <w:p>
      <w:pPr>
        <w:pStyle w:val="7"/>
        <w:spacing w:before="172" w:line="217" w:lineRule="auto"/>
        <w:ind w:left="606"/>
      </w:pPr>
      <w:r>
        <w:rPr>
          <w:spacing w:val="-3"/>
        </w:rPr>
        <w:t>（</w:t>
      </w:r>
      <w:r>
        <w:rPr>
          <w:rFonts w:ascii="Times New Roman" w:hAnsi="Times New Roman" w:eastAsia="Times New Roman" w:cs="Times New Roman"/>
          <w:spacing w:val="-3"/>
        </w:rPr>
        <w:t>3</w:t>
      </w:r>
      <w:r>
        <w:rPr>
          <w:spacing w:val="-3"/>
        </w:rPr>
        <w:t>）</w:t>
      </w:r>
      <w:r>
        <w:rPr>
          <w:spacing w:val="-36"/>
        </w:rPr>
        <w:t xml:space="preserve"> </w:t>
      </w:r>
      <w:r>
        <w:rPr>
          <w:spacing w:val="-3"/>
        </w:rPr>
        <w:t>不同病种二次入院偏离计算</w:t>
      </w:r>
    </w:p>
    <w:p>
      <w:pPr>
        <w:pStyle w:val="7"/>
        <w:spacing w:before="295" w:line="217" w:lineRule="auto"/>
        <w:ind w:left="630"/>
      </w:pPr>
      <w:r>
        <w:rPr>
          <w:spacing w:val="-4"/>
        </w:rPr>
        <w:t>医疗机构不同病种二次入院率偏差的计算方法如下：</w:t>
      </w:r>
    </w:p>
    <w:p>
      <w:pPr>
        <w:spacing w:line="253" w:lineRule="auto"/>
        <w:rPr>
          <w:rFonts w:ascii="Arial"/>
          <w:sz w:val="21"/>
        </w:rPr>
      </w:pPr>
    </w:p>
    <w:p>
      <w:pPr>
        <w:spacing w:before="5" w:line="224" w:lineRule="auto"/>
        <w:ind w:firstLine="2800" w:firstLineChars="1000"/>
        <w:rPr>
          <w:rFonts w:ascii="Cambria Math" w:hAnsi="Cambria Math" w:eastAsia="Cambria Math" w:cs="Cambria Math"/>
          <w:sz w:val="19"/>
          <w:szCs w:val="19"/>
        </w:rPr>
      </w:pPr>
      <w:r>
        <w:rPr>
          <w:rFonts w:ascii="Cambria Math" w:hAnsi="Cambria Math" w:eastAsia="Cambria Math" w:cs="Cambria Math"/>
          <w:position w:val="3"/>
          <w:sz w:val="28"/>
          <w:szCs w:val="28"/>
        </w:rPr>
        <w:t>D</w:t>
      </w:r>
      <w:r>
        <w:rPr>
          <w:rFonts w:ascii="Cambria Math" w:hAnsi="Cambria Math" w:eastAsia="Cambria Math" w:cs="Cambria Math"/>
          <w:position w:val="-2"/>
          <w:sz w:val="19"/>
          <w:szCs w:val="19"/>
        </w:rPr>
        <w:t>x</w:t>
      </w:r>
      <w:r>
        <w:rPr>
          <w:rFonts w:ascii="Cambria Math" w:hAnsi="Cambria Math" w:eastAsia="Cambria Math" w:cs="Cambria Math"/>
          <w:spacing w:val="15"/>
          <w:w w:val="101"/>
          <w:position w:val="-2"/>
          <w:sz w:val="19"/>
          <w:szCs w:val="19"/>
        </w:rPr>
        <w:t xml:space="preserve">  </w:t>
      </w:r>
      <w:r>
        <w:rPr>
          <w:rFonts w:ascii="Cambria Math" w:hAnsi="Cambria Math" w:eastAsia="Cambria Math" w:cs="Cambria Math"/>
          <w:spacing w:val="17"/>
          <w:position w:val="3"/>
          <w:sz w:val="28"/>
          <w:szCs w:val="28"/>
        </w:rPr>
        <w:t>=</w:t>
      </w:r>
      <w:r>
        <w:rPr>
          <w:rFonts w:ascii="Cambria Math" w:hAnsi="Cambria Math" w:eastAsia="Cambria Math" w:cs="Cambria Math"/>
          <w:spacing w:val="19"/>
          <w:position w:val="3"/>
          <w:sz w:val="28"/>
          <w:szCs w:val="28"/>
        </w:rPr>
        <w:t xml:space="preserve"> </w:t>
      </w:r>
      <w:r>
        <w:rPr>
          <w:rFonts w:ascii="Cambria Math" w:hAnsi="Cambria Math" w:eastAsia="Cambria Math" w:cs="Cambria Math"/>
          <w:position w:val="3"/>
          <w:sz w:val="28"/>
          <w:szCs w:val="28"/>
        </w:rPr>
        <w:t>s</w:t>
      </w:r>
      <w:r>
        <w:rPr>
          <w:rFonts w:ascii="Cambria Math" w:hAnsi="Cambria Math" w:eastAsia="Cambria Math" w:cs="Cambria Math"/>
          <w:position w:val="-4"/>
          <w:sz w:val="19"/>
          <w:szCs w:val="19"/>
        </w:rPr>
        <w:t>x</w:t>
      </w:r>
      <w:r>
        <w:rPr>
          <w:rFonts w:ascii="Cambria Math" w:hAnsi="Cambria Math" w:eastAsia="Cambria Math" w:cs="Cambria Math"/>
          <w:spacing w:val="8"/>
          <w:position w:val="-4"/>
          <w:sz w:val="19"/>
          <w:szCs w:val="19"/>
        </w:rPr>
        <w:t xml:space="preserve">    </w:t>
      </w:r>
      <w:r>
        <w:rPr>
          <w:rFonts w:ascii="Cambria Math" w:hAnsi="Cambria Math" w:eastAsia="Cambria Math" w:cs="Cambria Math"/>
          <w:spacing w:val="17"/>
          <w:position w:val="3"/>
          <w:sz w:val="28"/>
          <w:szCs w:val="28"/>
        </w:rPr>
        <w:t xml:space="preserve">− </w:t>
      </w:r>
      <w:r>
        <w:rPr>
          <w:rFonts w:ascii="Cambria Math" w:hAnsi="Cambria Math" w:eastAsia="Cambria Math" w:cs="Cambria Math"/>
          <w:position w:val="3"/>
          <w:sz w:val="28"/>
          <w:szCs w:val="28"/>
        </w:rPr>
        <w:t>s</w:t>
      </w:r>
      <w:r>
        <w:rPr>
          <w:rFonts w:ascii="Cambria Math" w:hAnsi="Cambria Math" w:eastAsia="Cambria Math" w:cs="Cambria Math"/>
          <w:position w:val="-2"/>
          <w:sz w:val="19"/>
          <w:szCs w:val="19"/>
        </w:rPr>
        <w:t>x</w:t>
      </w:r>
    </w:p>
    <w:p>
      <w:pPr>
        <w:pStyle w:val="7"/>
        <w:spacing w:before="140" w:line="209" w:lineRule="auto"/>
        <w:ind w:left="1568"/>
        <w:rPr>
          <w:sz w:val="7"/>
          <w:szCs w:val="7"/>
        </w:rPr>
      </w:pPr>
      <w:r>
        <w:rPr>
          <w:i/>
          <w:iCs/>
          <w:spacing w:val="75"/>
          <w:w w:val="161"/>
          <w:sz w:val="7"/>
          <w:szCs w:val="7"/>
        </w:rPr>
        <w:t>′</w:t>
      </w:r>
    </w:p>
    <w:p>
      <w:pPr>
        <w:pStyle w:val="7"/>
        <w:spacing w:line="307" w:lineRule="auto"/>
        <w:ind w:left="49" w:right="210" w:firstLine="559"/>
      </w:pPr>
      <w:r>
        <w:rPr>
          <w:spacing w:val="-20"/>
        </w:rPr>
        <w:t>其中：</w:t>
      </w:r>
      <w:r>
        <w:rPr>
          <w:rFonts w:ascii="Cambria Math" w:hAnsi="Cambria Math" w:eastAsia="Cambria Math" w:cs="Cambria Math"/>
          <w:spacing w:val="-20"/>
        </w:rPr>
        <w:t>s</w:t>
      </w:r>
      <w:r>
        <w:rPr>
          <w:rFonts w:ascii="Cambria Math" w:hAnsi="Cambria Math" w:eastAsia="Cambria Math" w:cs="Cambria Math"/>
          <w:spacing w:val="-2"/>
          <w:position w:val="-7"/>
          <w:sz w:val="19"/>
          <w:szCs w:val="19"/>
        </w:rPr>
        <w:t xml:space="preserve">x   </w:t>
      </w:r>
      <w:r>
        <w:rPr>
          <w:spacing w:val="-2"/>
        </w:rPr>
        <w:t>为指定医疗机构不同病种二次入院率，</w:t>
      </w:r>
      <w:r>
        <w:rPr>
          <w:rFonts w:ascii="Cambria Math" w:hAnsi="Cambria Math" w:eastAsia="Cambria Math" w:cs="Cambria Math"/>
          <w:spacing w:val="-2"/>
        </w:rPr>
        <w:t>s</w:t>
      </w:r>
      <w:r>
        <w:rPr>
          <w:rFonts w:ascii="Cambria Math" w:hAnsi="Cambria Math" w:eastAsia="Cambria Math" w:cs="Cambria Math"/>
          <w:spacing w:val="-2"/>
          <w:position w:val="-5"/>
          <w:sz w:val="19"/>
          <w:szCs w:val="19"/>
        </w:rPr>
        <w:t xml:space="preserve">x </w:t>
      </w:r>
      <w:r>
        <w:rPr>
          <w:spacing w:val="-2"/>
        </w:rPr>
        <w:t>为区域不同病</w:t>
      </w:r>
      <w:r>
        <w:rPr>
          <w:spacing w:val="1"/>
        </w:rPr>
        <w:t xml:space="preserve"> </w:t>
      </w:r>
      <w:r>
        <w:rPr>
          <w:spacing w:val="-3"/>
        </w:rPr>
        <w:t>种平均二次入院率。</w:t>
      </w:r>
    </w:p>
    <w:p>
      <w:pPr>
        <w:pStyle w:val="7"/>
        <w:spacing w:before="91" w:line="218" w:lineRule="auto"/>
        <w:ind w:firstLine="544" w:firstLineChars="200"/>
      </w:pPr>
      <w:r>
        <w:rPr>
          <w:spacing w:val="-4"/>
        </w:rPr>
        <w:t>（</w:t>
      </w:r>
      <w:r>
        <w:rPr>
          <w:rFonts w:ascii="Times New Roman" w:hAnsi="Times New Roman" w:eastAsia="Times New Roman" w:cs="Times New Roman"/>
          <w:spacing w:val="-4"/>
        </w:rPr>
        <w:t>4</w:t>
      </w:r>
      <w:r>
        <w:rPr>
          <w:spacing w:val="-4"/>
        </w:rPr>
        <w:t>）</w:t>
      </w:r>
      <w:r>
        <w:rPr>
          <w:spacing w:val="-36"/>
        </w:rPr>
        <w:t xml:space="preserve"> </w:t>
      </w:r>
      <w:r>
        <w:rPr>
          <w:spacing w:val="-4"/>
        </w:rPr>
        <w:t>二次入院评分计算</w:t>
      </w:r>
    </w:p>
    <w:p>
      <w:pPr>
        <w:pStyle w:val="7"/>
        <w:spacing w:before="295" w:line="397" w:lineRule="auto"/>
        <w:ind w:left="36" w:right="12" w:firstLine="577"/>
      </w:pPr>
      <w:r>
        <w:rPr>
          <w:spacing w:val="-3"/>
        </w:rPr>
        <w:t>医疗机构二次入院评分（</w:t>
      </w:r>
      <w:r>
        <w:rPr>
          <w:rFonts w:ascii="Times New Roman" w:hAnsi="Times New Roman" w:eastAsia="Times New Roman" w:cs="Times New Roman"/>
          <w:spacing w:val="-3"/>
        </w:rPr>
        <w:t>Rating of</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secondaryadmission</w:t>
      </w:r>
      <w:r>
        <w:rPr>
          <w:spacing w:val="-3"/>
        </w:rPr>
        <w:t>，</w:t>
      </w:r>
      <w:r>
        <w:rPr>
          <w:rFonts w:ascii="Times New Roman" w:hAnsi="Times New Roman" w:eastAsia="Times New Roman" w:cs="Times New Roman"/>
          <w:spacing w:val="-3"/>
        </w:rPr>
        <w:t>RSA</w:t>
      </w:r>
      <w:r>
        <w:rPr>
          <w:spacing w:val="-3"/>
        </w:rPr>
        <w:t>）基</w:t>
      </w:r>
      <w:r>
        <w:rPr>
          <w:spacing w:val="-4"/>
        </w:rPr>
        <w:t>于病种进行测算，其作为负向指标最终实现针对指定医疗机构病种层</w:t>
      </w:r>
      <w:r>
        <w:rPr>
          <w:spacing w:val="-6"/>
        </w:rPr>
        <w:t>的调校，其计算方法如下：</w:t>
      </w:r>
    </w:p>
    <w:p>
      <w:pPr>
        <w:pStyle w:val="7"/>
        <w:spacing w:before="64" w:line="385" w:lineRule="exact"/>
        <w:ind w:left="619"/>
      </w:pPr>
      <w:r>
        <w:rPr>
          <w:spacing w:val="-20"/>
          <w:position w:val="3"/>
        </w:rPr>
        <w:t>当</w:t>
      </w:r>
      <w:r>
        <w:rPr>
          <w:rFonts w:ascii="Cambria Math" w:hAnsi="Cambria Math" w:eastAsia="Cambria Math" w:cs="Cambria Math"/>
          <w:spacing w:val="-20"/>
          <w:position w:val="3"/>
        </w:rPr>
        <w:t>D</w:t>
      </w:r>
      <w:r>
        <w:rPr>
          <w:rFonts w:ascii="Cambria Math" w:hAnsi="Cambria Math" w:eastAsia="Cambria Math" w:cs="Cambria Math"/>
          <w:spacing w:val="-5"/>
          <w:position w:val="-2"/>
          <w:sz w:val="19"/>
          <w:szCs w:val="19"/>
        </w:rPr>
        <w:t>x</w:t>
      </w:r>
      <w:r>
        <w:rPr>
          <w:rFonts w:ascii="Cambria Math" w:hAnsi="Cambria Math" w:eastAsia="Cambria Math" w:cs="Cambria Math"/>
          <w:spacing w:val="22"/>
          <w:position w:val="-2"/>
          <w:sz w:val="19"/>
          <w:szCs w:val="19"/>
        </w:rPr>
        <w:t xml:space="preserve">  </w:t>
      </w:r>
      <w:r>
        <w:rPr>
          <w:rFonts w:ascii="Cambria Math" w:hAnsi="Cambria Math" w:eastAsia="Cambria Math" w:cs="Cambria Math"/>
          <w:spacing w:val="-5"/>
          <w:position w:val="3"/>
        </w:rPr>
        <w:t>≤</w:t>
      </w:r>
      <w:r>
        <w:rPr>
          <w:rFonts w:ascii="Cambria Math" w:hAnsi="Cambria Math" w:eastAsia="Cambria Math" w:cs="Cambria Math"/>
          <w:spacing w:val="31"/>
          <w:w w:val="101"/>
          <w:position w:val="3"/>
        </w:rPr>
        <w:t xml:space="preserve"> </w:t>
      </w:r>
      <w:r>
        <w:rPr>
          <w:rFonts w:ascii="Cambria Math" w:hAnsi="Cambria Math" w:eastAsia="Cambria Math" w:cs="Cambria Math"/>
          <w:spacing w:val="-5"/>
          <w:position w:val="3"/>
        </w:rPr>
        <w:t>0</w:t>
      </w:r>
      <w:r>
        <w:rPr>
          <w:spacing w:val="-5"/>
          <w:position w:val="3"/>
        </w:rPr>
        <w:t>时，令</w:t>
      </w:r>
      <w:r>
        <w:rPr>
          <w:spacing w:val="-65"/>
          <w:position w:val="3"/>
        </w:rPr>
        <w:t xml:space="preserve"> </w:t>
      </w:r>
      <w:r>
        <w:rPr>
          <w:rFonts w:ascii="Times New Roman" w:hAnsi="Times New Roman" w:eastAsia="Times New Roman" w:cs="Times New Roman"/>
          <w:spacing w:val="-5"/>
          <w:position w:val="3"/>
        </w:rPr>
        <w:t>RSA</w:t>
      </w:r>
      <w:r>
        <w:rPr>
          <w:rFonts w:ascii="Cambria Math" w:hAnsi="Cambria Math" w:eastAsia="Cambria Math" w:cs="Cambria Math"/>
          <w:spacing w:val="-5"/>
          <w:position w:val="3"/>
        </w:rPr>
        <w:t>=</w:t>
      </w:r>
      <w:r>
        <w:rPr>
          <w:rFonts w:ascii="Cambria Math" w:hAnsi="Cambria Math" w:eastAsia="Cambria Math" w:cs="Cambria Math"/>
          <w:spacing w:val="34"/>
          <w:position w:val="3"/>
        </w:rPr>
        <w:t xml:space="preserve"> </w:t>
      </w:r>
      <w:r>
        <w:rPr>
          <w:rFonts w:ascii="Cambria Math" w:hAnsi="Cambria Math" w:eastAsia="Cambria Math" w:cs="Cambria Math"/>
          <w:spacing w:val="-5"/>
          <w:position w:val="3"/>
        </w:rPr>
        <w:t>0</w:t>
      </w:r>
      <w:r>
        <w:rPr>
          <w:spacing w:val="-5"/>
          <w:position w:val="3"/>
        </w:rPr>
        <w:t>；</w:t>
      </w:r>
    </w:p>
    <w:p>
      <w:pPr>
        <w:pStyle w:val="7"/>
        <w:spacing w:before="240" w:line="351" w:lineRule="auto"/>
        <w:ind w:left="39" w:right="8" w:firstLine="579"/>
      </w:pPr>
      <w:r>
        <w:rPr>
          <w:spacing w:val="-20"/>
        </w:rPr>
        <w:t>当</w:t>
      </w:r>
      <w:r>
        <w:rPr>
          <w:rFonts w:ascii="Cambria Math" w:hAnsi="Cambria Math" w:eastAsia="Cambria Math" w:cs="Cambria Math"/>
          <w:spacing w:val="-20"/>
        </w:rPr>
        <w:t>D</w:t>
      </w:r>
      <w:r>
        <w:rPr>
          <w:rFonts w:ascii="Cambria Math" w:hAnsi="Cambria Math" w:eastAsia="Cambria Math" w:cs="Cambria Math"/>
          <w:spacing w:val="-5"/>
          <w:position w:val="-5"/>
          <w:sz w:val="19"/>
          <w:szCs w:val="19"/>
        </w:rPr>
        <w:t>x</w:t>
      </w:r>
      <w:r>
        <w:rPr>
          <w:rFonts w:ascii="Cambria Math" w:hAnsi="Cambria Math" w:eastAsia="Cambria Math" w:cs="Cambria Math"/>
          <w:spacing w:val="17"/>
          <w:position w:val="-5"/>
          <w:sz w:val="19"/>
          <w:szCs w:val="19"/>
        </w:rPr>
        <w:t xml:space="preserve">  </w:t>
      </w:r>
      <w:r>
        <w:rPr>
          <w:rFonts w:ascii="Cambria Math" w:hAnsi="Cambria Math" w:eastAsia="Cambria Math" w:cs="Cambria Math"/>
          <w:spacing w:val="-5"/>
        </w:rPr>
        <w:t>&gt;</w:t>
      </w:r>
      <w:r>
        <w:rPr>
          <w:rFonts w:ascii="Cambria Math" w:hAnsi="Cambria Math" w:eastAsia="Cambria Math" w:cs="Cambria Math"/>
          <w:spacing w:val="31"/>
        </w:rPr>
        <w:t xml:space="preserve"> </w:t>
      </w:r>
      <w:r>
        <w:rPr>
          <w:rFonts w:ascii="Cambria Math" w:hAnsi="Cambria Math" w:eastAsia="Cambria Math" w:cs="Cambria Math"/>
          <w:spacing w:val="-5"/>
        </w:rPr>
        <w:t>0</w:t>
      </w:r>
      <w:r>
        <w:rPr>
          <w:spacing w:val="-5"/>
        </w:rPr>
        <w:t>时，令</w:t>
      </w:r>
      <w:r>
        <w:rPr>
          <w:spacing w:val="-65"/>
        </w:rPr>
        <w:t xml:space="preserve"> </w:t>
      </w:r>
      <w:r>
        <w:rPr>
          <w:rFonts w:ascii="Times New Roman" w:hAnsi="Times New Roman" w:eastAsia="Times New Roman" w:cs="Times New Roman"/>
          <w:spacing w:val="-5"/>
        </w:rPr>
        <w:t>RSA</w:t>
      </w:r>
      <w:r>
        <w:rPr>
          <w:rFonts w:ascii="Cambria Math" w:hAnsi="Cambria Math" w:eastAsia="Cambria Math" w:cs="Cambria Math"/>
          <w:spacing w:val="-5"/>
        </w:rPr>
        <w:t>=</w:t>
      </w:r>
      <w:r>
        <w:rPr>
          <w:rFonts w:ascii="Cambria Math" w:hAnsi="Cambria Math" w:eastAsia="Cambria Math" w:cs="Cambria Math"/>
          <w:spacing w:val="24"/>
          <w:w w:val="101"/>
        </w:rPr>
        <w:t xml:space="preserve"> </w:t>
      </w:r>
      <w:r>
        <w:rPr>
          <w:rFonts w:ascii="Cambria Math" w:hAnsi="Cambria Math" w:eastAsia="Cambria Math" w:cs="Cambria Math"/>
          <w:spacing w:val="-5"/>
        </w:rPr>
        <w:t>R</w:t>
      </w:r>
      <w:r>
        <w:rPr>
          <w:rFonts w:ascii="Cambria Math" w:hAnsi="Cambria Math" w:eastAsia="Cambria Math" w:cs="Cambria Math"/>
          <w:spacing w:val="25"/>
        </w:rPr>
        <w:t xml:space="preserve"> </w:t>
      </w:r>
      <w:r>
        <w:rPr>
          <w:rFonts w:ascii="Cambria Math" w:hAnsi="Cambria Math" w:eastAsia="Cambria Math" w:cs="Cambria Math"/>
          <w:spacing w:val="-5"/>
        </w:rPr>
        <w:t>∗ D</w:t>
      </w:r>
      <w:r>
        <w:rPr>
          <w:rFonts w:ascii="Cambria Math" w:hAnsi="Cambria Math" w:eastAsia="Cambria Math" w:cs="Cambria Math"/>
          <w:spacing w:val="-5"/>
          <w:position w:val="-5"/>
          <w:sz w:val="19"/>
          <w:szCs w:val="19"/>
        </w:rPr>
        <w:t>x</w:t>
      </w:r>
      <w:r>
        <w:rPr>
          <w:spacing w:val="-5"/>
        </w:rPr>
        <w:t>，其中</w:t>
      </w:r>
      <w:r>
        <w:rPr>
          <w:spacing w:val="-65"/>
        </w:rPr>
        <w:t xml:space="preserve"> </w:t>
      </w:r>
      <w:r>
        <w:rPr>
          <w:rFonts w:ascii="Times New Roman" w:hAnsi="Times New Roman" w:eastAsia="Times New Roman" w:cs="Times New Roman"/>
          <w:spacing w:val="-5"/>
        </w:rPr>
        <w:t>R</w:t>
      </w:r>
      <w:r>
        <w:rPr>
          <w:spacing w:val="-5"/>
        </w:rPr>
        <w:t>为病种对应概率</w:t>
      </w:r>
      <w:r>
        <w:rPr>
          <w:spacing w:val="-6"/>
        </w:rPr>
        <w:t>分级的权</w:t>
      </w:r>
      <w:r>
        <w:rPr>
          <w:spacing w:val="-10"/>
        </w:rPr>
        <w:t>重，具体如下：</w:t>
      </w:r>
    </w:p>
    <w:tbl>
      <w:tblPr>
        <w:tblStyle w:val="31"/>
        <w:tblW w:w="3835" w:type="dxa"/>
        <w:tblInd w:w="2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2270"/>
        <w:gridCol w:w="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09" w:type="dxa"/>
            <w:vAlign w:val="top"/>
          </w:tcPr>
          <w:p>
            <w:pPr>
              <w:spacing w:before="129" w:line="219" w:lineRule="auto"/>
              <w:ind w:left="146"/>
              <w:rPr>
                <w:rFonts w:ascii="仿宋" w:hAnsi="仿宋" w:eastAsia="仿宋" w:cs="仿宋"/>
                <w:sz w:val="22"/>
                <w:szCs w:val="22"/>
              </w:rPr>
            </w:pPr>
            <w:r>
              <w:rPr>
                <w:rFonts w:ascii="仿宋" w:hAnsi="仿宋" w:eastAsia="仿宋" w:cs="仿宋"/>
                <w:spacing w:val="-4"/>
                <w:sz w:val="22"/>
                <w:szCs w:val="22"/>
              </w:rPr>
              <w:t>序号</w:t>
            </w:r>
          </w:p>
        </w:tc>
        <w:tc>
          <w:tcPr>
            <w:tcW w:w="2270" w:type="dxa"/>
            <w:vAlign w:val="top"/>
          </w:tcPr>
          <w:p>
            <w:pPr>
              <w:spacing w:before="129" w:line="219" w:lineRule="auto"/>
              <w:ind w:left="703"/>
              <w:rPr>
                <w:rFonts w:ascii="仿宋" w:hAnsi="仿宋" w:eastAsia="仿宋" w:cs="仿宋"/>
                <w:sz w:val="22"/>
                <w:szCs w:val="22"/>
              </w:rPr>
            </w:pPr>
            <w:r>
              <w:rPr>
                <w:rFonts w:ascii="仿宋" w:hAnsi="仿宋" w:eastAsia="仿宋" w:cs="仿宋"/>
                <w:spacing w:val="-3"/>
                <w:sz w:val="22"/>
                <w:szCs w:val="22"/>
              </w:rPr>
              <w:t>概率分级</w:t>
            </w:r>
          </w:p>
        </w:tc>
        <w:tc>
          <w:tcPr>
            <w:tcW w:w="856" w:type="dxa"/>
            <w:vAlign w:val="top"/>
          </w:tcPr>
          <w:p>
            <w:pPr>
              <w:spacing w:before="129" w:line="219" w:lineRule="auto"/>
              <w:ind w:left="217"/>
              <w:rPr>
                <w:rFonts w:ascii="仿宋" w:hAnsi="仿宋" w:eastAsia="仿宋" w:cs="仿宋"/>
                <w:sz w:val="22"/>
                <w:szCs w:val="22"/>
              </w:rPr>
            </w:pPr>
            <w:r>
              <w:rPr>
                <w:rFonts w:ascii="仿宋" w:hAnsi="仿宋" w:eastAsia="仿宋" w:cs="仿宋"/>
                <w:spacing w:val="-4"/>
                <w:sz w:val="22"/>
                <w:szCs w:val="22"/>
              </w:rPr>
              <w:t>权重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09" w:type="dxa"/>
            <w:vAlign w:val="top"/>
          </w:tcPr>
          <w:p>
            <w:pPr>
              <w:spacing w:before="166" w:line="187" w:lineRule="auto"/>
              <w:ind w:left="32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70" w:type="dxa"/>
            <w:vAlign w:val="top"/>
          </w:tcPr>
          <w:p>
            <w:pPr>
              <w:spacing w:before="125" w:line="219" w:lineRule="auto"/>
              <w:ind w:left="154"/>
              <w:rPr>
                <w:rFonts w:ascii="仿宋" w:hAnsi="仿宋" w:eastAsia="仿宋" w:cs="仿宋"/>
                <w:sz w:val="22"/>
                <w:szCs w:val="22"/>
              </w:rPr>
            </w:pPr>
            <w:r>
              <w:rPr>
                <w:rFonts w:ascii="仿宋" w:hAnsi="仿宋" w:eastAsia="仿宋" w:cs="仿宋"/>
                <w:spacing w:val="-2"/>
                <w:sz w:val="22"/>
                <w:szCs w:val="22"/>
              </w:rPr>
              <w:t>极低概率二次入院组</w:t>
            </w:r>
          </w:p>
        </w:tc>
        <w:tc>
          <w:tcPr>
            <w:tcW w:w="856" w:type="dxa"/>
            <w:vAlign w:val="top"/>
          </w:tcPr>
          <w:p>
            <w:pPr>
              <w:spacing w:before="165" w:line="187" w:lineRule="auto"/>
              <w:ind w:left="2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09" w:type="dxa"/>
            <w:vAlign w:val="top"/>
          </w:tcPr>
          <w:p>
            <w:pPr>
              <w:spacing w:before="166" w:line="187" w:lineRule="auto"/>
              <w:ind w:left="30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270" w:type="dxa"/>
            <w:vAlign w:val="top"/>
          </w:tcPr>
          <w:p>
            <w:pPr>
              <w:spacing w:before="126" w:line="219" w:lineRule="auto"/>
              <w:ind w:left="265"/>
              <w:rPr>
                <w:rFonts w:ascii="仿宋" w:hAnsi="仿宋" w:eastAsia="仿宋" w:cs="仿宋"/>
                <w:sz w:val="22"/>
                <w:szCs w:val="22"/>
              </w:rPr>
            </w:pPr>
            <w:r>
              <w:rPr>
                <w:rFonts w:ascii="仿宋" w:hAnsi="仿宋" w:eastAsia="仿宋" w:cs="仿宋"/>
                <w:spacing w:val="-2"/>
                <w:sz w:val="22"/>
                <w:szCs w:val="22"/>
              </w:rPr>
              <w:t>低概率二次入院组</w:t>
            </w:r>
          </w:p>
        </w:tc>
        <w:tc>
          <w:tcPr>
            <w:tcW w:w="856" w:type="dxa"/>
            <w:vAlign w:val="top"/>
          </w:tcPr>
          <w:p>
            <w:pPr>
              <w:spacing w:before="166" w:line="187" w:lineRule="auto"/>
              <w:ind w:left="2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09" w:type="dxa"/>
            <w:vAlign w:val="top"/>
          </w:tcPr>
          <w:p>
            <w:pPr>
              <w:spacing w:before="169" w:line="187" w:lineRule="auto"/>
              <w:ind w:left="306"/>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270" w:type="dxa"/>
            <w:vAlign w:val="top"/>
          </w:tcPr>
          <w:p>
            <w:pPr>
              <w:spacing w:before="129" w:line="219" w:lineRule="auto"/>
              <w:ind w:left="183"/>
              <w:rPr>
                <w:rFonts w:ascii="仿宋" w:hAnsi="仿宋" w:eastAsia="仿宋" w:cs="仿宋"/>
                <w:sz w:val="22"/>
                <w:szCs w:val="22"/>
              </w:rPr>
            </w:pPr>
            <w:r>
              <w:rPr>
                <w:rFonts w:ascii="仿宋" w:hAnsi="仿宋" w:eastAsia="仿宋" w:cs="仿宋"/>
                <w:spacing w:val="-5"/>
                <w:sz w:val="22"/>
                <w:szCs w:val="22"/>
              </w:rPr>
              <w:t>中低概率二次入院组</w:t>
            </w:r>
          </w:p>
        </w:tc>
        <w:tc>
          <w:tcPr>
            <w:tcW w:w="856" w:type="dxa"/>
            <w:vAlign w:val="top"/>
          </w:tcPr>
          <w:p>
            <w:pPr>
              <w:spacing w:before="169" w:line="187" w:lineRule="auto"/>
              <w:ind w:left="2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09" w:type="dxa"/>
            <w:vAlign w:val="top"/>
          </w:tcPr>
          <w:p>
            <w:pPr>
              <w:spacing w:before="168" w:line="187" w:lineRule="auto"/>
              <w:ind w:left="300"/>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270" w:type="dxa"/>
            <w:vAlign w:val="top"/>
          </w:tcPr>
          <w:p>
            <w:pPr>
              <w:spacing w:before="127" w:line="219" w:lineRule="auto"/>
              <w:ind w:left="183"/>
              <w:rPr>
                <w:rFonts w:ascii="仿宋" w:hAnsi="仿宋" w:eastAsia="仿宋" w:cs="仿宋"/>
                <w:sz w:val="22"/>
                <w:szCs w:val="22"/>
              </w:rPr>
            </w:pPr>
            <w:r>
              <w:rPr>
                <w:rFonts w:ascii="仿宋" w:hAnsi="仿宋" w:eastAsia="仿宋" w:cs="仿宋"/>
                <w:spacing w:val="-5"/>
                <w:sz w:val="22"/>
                <w:szCs w:val="22"/>
              </w:rPr>
              <w:t>中高概率二次入院组</w:t>
            </w:r>
          </w:p>
        </w:tc>
        <w:tc>
          <w:tcPr>
            <w:tcW w:w="856" w:type="dxa"/>
            <w:vAlign w:val="top"/>
          </w:tcPr>
          <w:p>
            <w:pPr>
              <w:spacing w:before="168" w:line="187" w:lineRule="auto"/>
              <w:ind w:left="2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09" w:type="dxa"/>
            <w:vAlign w:val="top"/>
          </w:tcPr>
          <w:p>
            <w:pPr>
              <w:spacing w:before="171" w:line="184" w:lineRule="auto"/>
              <w:ind w:left="307"/>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270" w:type="dxa"/>
            <w:vAlign w:val="top"/>
          </w:tcPr>
          <w:p>
            <w:pPr>
              <w:spacing w:before="128" w:line="219" w:lineRule="auto"/>
              <w:ind w:left="272"/>
              <w:rPr>
                <w:rFonts w:ascii="仿宋" w:hAnsi="仿宋" w:eastAsia="仿宋" w:cs="仿宋"/>
                <w:sz w:val="22"/>
                <w:szCs w:val="22"/>
              </w:rPr>
            </w:pPr>
            <w:r>
              <w:rPr>
                <w:rFonts w:ascii="仿宋" w:hAnsi="仿宋" w:eastAsia="仿宋" w:cs="仿宋"/>
                <w:spacing w:val="-3"/>
                <w:sz w:val="22"/>
                <w:szCs w:val="22"/>
              </w:rPr>
              <w:t>高概率二次入院组</w:t>
            </w:r>
          </w:p>
        </w:tc>
        <w:tc>
          <w:tcPr>
            <w:tcW w:w="856" w:type="dxa"/>
            <w:vAlign w:val="top"/>
          </w:tcPr>
          <w:p>
            <w:pPr>
              <w:spacing w:before="168" w:line="187" w:lineRule="auto"/>
              <w:ind w:left="2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0.15</w:t>
            </w:r>
          </w:p>
        </w:tc>
      </w:tr>
    </w:tbl>
    <w:p>
      <w:pPr>
        <w:spacing w:line="309" w:lineRule="auto"/>
        <w:rPr>
          <w:rFonts w:ascii="Arial"/>
          <w:sz w:val="21"/>
        </w:rPr>
      </w:pPr>
    </w:p>
    <w:p>
      <w:pPr>
        <w:spacing w:before="101" w:line="221" w:lineRule="auto"/>
        <w:ind w:left="17"/>
        <w:outlineLvl w:val="1"/>
        <w:rPr>
          <w:rFonts w:ascii="楷体" w:hAnsi="楷体" w:eastAsia="楷体" w:cs="楷体"/>
          <w:b w:val="0"/>
          <w:bCs w:val="0"/>
          <w:sz w:val="31"/>
          <w:szCs w:val="31"/>
        </w:rPr>
      </w:pPr>
      <w:bookmarkStart w:id="132" w:name="_Toc16839"/>
      <w:r>
        <w:rPr>
          <w:rFonts w:ascii="Times New Roman" w:hAnsi="Times New Roman" w:eastAsia="Times New Roman" w:cs="Times New Roman"/>
          <w:b w:val="0"/>
          <w:bCs w:val="0"/>
          <w:spacing w:val="6"/>
          <w:sz w:val="31"/>
          <w:szCs w:val="31"/>
        </w:rPr>
        <w:t xml:space="preserve">3 </w:t>
      </w:r>
      <w:r>
        <w:rPr>
          <w:rFonts w:ascii="楷体" w:hAnsi="楷体" w:eastAsia="楷体" w:cs="楷体"/>
          <w:b w:val="0"/>
          <w:bCs w:val="0"/>
          <w:spacing w:val="6"/>
          <w:sz w:val="31"/>
          <w:szCs w:val="31"/>
        </w:rPr>
        <w:t>低标入院评分辅助目录</w:t>
      </w:r>
      <w:bookmarkEnd w:id="132"/>
    </w:p>
    <w:p>
      <w:pPr>
        <w:spacing w:line="439" w:lineRule="auto"/>
        <w:rPr>
          <w:rFonts w:ascii="Arial"/>
          <w:sz w:val="21"/>
        </w:rPr>
      </w:pPr>
    </w:p>
    <w:p>
      <w:pPr>
        <w:pStyle w:val="7"/>
        <w:spacing w:before="91" w:line="406" w:lineRule="auto"/>
        <w:ind w:left="29" w:right="9" w:firstLine="559"/>
      </w:pPr>
      <w:r>
        <w:rPr>
          <w:spacing w:val="-4"/>
        </w:rPr>
        <w:t>低标入院主要针对可以经门诊治疗不需住院的病人，这部分病例</w:t>
      </w:r>
      <w:r>
        <w:rPr>
          <w:spacing w:val="-1"/>
        </w:rPr>
        <w:t>的病种分值（</w:t>
      </w:r>
      <w:r>
        <w:rPr>
          <w:rFonts w:ascii="Times New Roman" w:hAnsi="Times New Roman" w:eastAsia="Times New Roman" w:cs="Times New Roman"/>
          <w:spacing w:val="-1"/>
        </w:rPr>
        <w:t>RW</w:t>
      </w:r>
      <w:r>
        <w:rPr>
          <w:spacing w:val="-1"/>
        </w:rPr>
        <w:t>）通常很低，且住院天数很短。针对不同病种，建立基于大数据的低标入院临界病种分值（</w:t>
      </w:r>
      <w:r>
        <w:rPr>
          <w:rFonts w:ascii="Times New Roman" w:hAnsi="Times New Roman" w:eastAsia="Times New Roman" w:cs="Times New Roman"/>
          <w:spacing w:val="-1"/>
        </w:rPr>
        <w:t>RW</w:t>
      </w:r>
      <w:r>
        <w:rPr>
          <w:spacing w:val="-1"/>
        </w:rPr>
        <w:t>）确定机制，客观还原</w:t>
      </w:r>
      <w:r>
        <w:rPr>
          <w:spacing w:val="-4"/>
        </w:rPr>
        <w:t>医疗机构收治的病例，从而合理评价其医疗行为，形成行为约束的价</w:t>
      </w:r>
      <w:r>
        <w:rPr>
          <w:spacing w:val="-3"/>
        </w:rPr>
        <w:t>值导向，引导医疗机构合理利用医疗资源。</w:t>
      </w:r>
    </w:p>
    <w:p>
      <w:pPr>
        <w:pStyle w:val="7"/>
        <w:spacing w:before="42" w:line="218" w:lineRule="auto"/>
        <w:ind w:left="590"/>
      </w:pPr>
      <w:r>
        <w:rPr>
          <w:spacing w:val="-5"/>
        </w:rPr>
        <w:t>（</w:t>
      </w:r>
      <w:r>
        <w:rPr>
          <w:rFonts w:ascii="Times New Roman" w:hAnsi="Times New Roman" w:eastAsia="Times New Roman" w:cs="Times New Roman"/>
          <w:spacing w:val="-5"/>
        </w:rPr>
        <w:t>1</w:t>
      </w:r>
      <w:r>
        <w:rPr>
          <w:spacing w:val="-5"/>
        </w:rPr>
        <w:t>）</w:t>
      </w:r>
      <w:r>
        <w:rPr>
          <w:spacing w:val="-40"/>
        </w:rPr>
        <w:t xml:space="preserve"> </w:t>
      </w:r>
      <w:r>
        <w:rPr>
          <w:spacing w:val="-5"/>
        </w:rPr>
        <w:t>基础值计算</w:t>
      </w:r>
    </w:p>
    <w:p>
      <w:pPr>
        <w:pStyle w:val="7"/>
        <w:spacing w:before="293" w:line="379" w:lineRule="auto"/>
        <w:ind w:left="30" w:right="7" w:firstLine="561"/>
      </w:pPr>
      <w:r>
        <w:t>假设一定时期内区域层面某病种某类机构实际病例数为</w:t>
      </w:r>
      <w:r>
        <w:rPr>
          <w:rFonts w:ascii="Times New Roman" w:hAnsi="Times New Roman" w:eastAsia="Times New Roman" w:cs="Times New Roman"/>
          <w:spacing w:val="-1"/>
        </w:rPr>
        <w:t>n</w:t>
      </w:r>
      <w:r>
        <w:rPr>
          <w:rFonts w:ascii="Times New Roman" w:hAnsi="Times New Roman" w:eastAsia="Times New Roman" w:cs="Times New Roman"/>
          <w:spacing w:val="-32"/>
        </w:rPr>
        <w:t xml:space="preserve"> </w:t>
      </w:r>
      <w:r>
        <w:rPr>
          <w:spacing w:val="-1"/>
        </w:rPr>
        <w:t>，低于低标入院的临界病种分值（</w:t>
      </w:r>
      <w:r>
        <w:rPr>
          <w:rFonts w:ascii="Times New Roman" w:hAnsi="Times New Roman" w:eastAsia="Times New Roman" w:cs="Times New Roman"/>
          <w:spacing w:val="-1"/>
        </w:rPr>
        <w:t>RW</w:t>
      </w:r>
      <w:r>
        <w:rPr>
          <w:spacing w:val="-1"/>
        </w:rPr>
        <w:t>）的病例数为</w:t>
      </w:r>
      <w:r>
        <w:rPr>
          <w:spacing w:val="-64"/>
        </w:rPr>
        <w:t xml:space="preserve"> </w:t>
      </w:r>
      <w:r>
        <w:rPr>
          <w:rFonts w:ascii="Times New Roman" w:hAnsi="Times New Roman" w:eastAsia="Times New Roman" w:cs="Times New Roman"/>
          <w:spacing w:val="-1"/>
        </w:rPr>
        <w:t>m</w:t>
      </w:r>
      <w:r>
        <w:rPr>
          <w:spacing w:val="-1"/>
        </w:rPr>
        <w:t>。</w:t>
      </w:r>
    </w:p>
    <w:p>
      <w:pPr>
        <w:pStyle w:val="7"/>
        <w:ind w:left="589"/>
      </w:pPr>
      <w:r>
        <w:rPr>
          <w:spacing w:val="-4"/>
        </w:rPr>
        <w:t>低标入院率</w:t>
      </w:r>
      <w:r>
        <w:rPr>
          <w:spacing w:val="20"/>
        </w:rPr>
        <w:t xml:space="preserve"> </w:t>
      </w:r>
      <w:r>
        <w:rPr>
          <w:position w:val="-18"/>
        </w:rPr>
        <w:drawing>
          <wp:inline distT="0" distB="0" distL="0" distR="0">
            <wp:extent cx="2694305" cy="321310"/>
            <wp:effectExtent l="0" t="0" r="127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2"/>
                    <a:stretch>
                      <a:fillRect/>
                    </a:stretch>
                  </pic:blipFill>
                  <pic:spPr>
                    <a:xfrm>
                      <a:off x="0" y="0"/>
                      <a:ext cx="2694809" cy="321563"/>
                    </a:xfrm>
                    <a:prstGeom prst="rect">
                      <a:avLst/>
                    </a:prstGeom>
                  </pic:spPr>
                </pic:pic>
              </a:graphicData>
            </a:graphic>
          </wp:inline>
        </w:drawing>
      </w:r>
    </w:p>
    <w:p>
      <w:pPr>
        <w:spacing w:line="307" w:lineRule="auto"/>
      </w:pPr>
    </w:p>
    <w:p>
      <w:pPr>
        <w:pStyle w:val="7"/>
        <w:spacing w:before="91" w:line="219" w:lineRule="auto"/>
        <w:ind w:left="606"/>
      </w:pPr>
      <w:r>
        <w:rPr>
          <w:sz w:val="28"/>
        </w:rPr>
        <w:pict>
          <v:shape id="文本框 8" o:spid="_x0000_s1079" o:spt="202" type="#_x0000_t202" style="position:absolute;left:0pt;margin-left:-8.6pt;margin-top:20.05pt;height:92.05pt;width:432.3pt;z-index:251678720;mso-width-relative:page;mso-height-relative:page;" fillcolor="#FFFFFF" filled="t" stroked="f" coordsize="21600,21600" o:gfxdata="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LdE3zVAAAA&#10;CgEAAA8AAAAAAAAAAQAgAAAAIgAAAGRycy9kb3ducmV2LnhtbFBLAQIUABQAAAAIAIdO4kDIqHMZ&#10;WQIAAJwEAAAOAAAAAAAAAAEAIAAAACQBAABkcnMvZTJvRG9jLnhtbFBLBQYAAAAABgAGAFkBAADv&#10;BQAAAAA=&#10;">
            <v:path/>
            <v:fill on="t" focussize="0,0"/>
            <v:stroke on="f" weight="0.5pt"/>
            <v:imagedata o:title=""/>
            <o:lock v:ext="edit" aspectratio="f"/>
            <v:textbox>
              <w:txbxContent>
                <w:p>
                  <w:r>
                    <w:drawing>
                      <wp:inline distT="0" distB="0" distL="114300" distR="114300">
                        <wp:extent cx="5300345" cy="1061720"/>
                        <wp:effectExtent l="0" t="0" r="5080" b="50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3"/>
                                <a:stretch>
                                  <a:fillRect/>
                                </a:stretch>
                              </pic:blipFill>
                              <pic:spPr>
                                <a:xfrm>
                                  <a:off x="0" y="0"/>
                                  <a:ext cx="5300345" cy="1061720"/>
                                </a:xfrm>
                                <a:prstGeom prst="rect">
                                  <a:avLst/>
                                </a:prstGeom>
                                <a:noFill/>
                                <a:ln>
                                  <a:noFill/>
                                </a:ln>
                              </pic:spPr>
                            </pic:pic>
                          </a:graphicData>
                        </a:graphic>
                      </wp:inline>
                    </w:drawing>
                  </w:r>
                </w:p>
              </w:txbxContent>
            </v:textbox>
          </v:shape>
        </w:pict>
      </w:r>
      <w:r>
        <w:rPr>
          <w:spacing w:val="-4"/>
        </w:rPr>
        <w:t>（</w:t>
      </w:r>
      <w:r>
        <w:rPr>
          <w:rFonts w:ascii="Times New Roman" w:hAnsi="Times New Roman" w:eastAsia="Times New Roman" w:cs="Times New Roman"/>
          <w:spacing w:val="-4"/>
        </w:rPr>
        <w:t>2</w:t>
      </w:r>
      <w:r>
        <w:rPr>
          <w:spacing w:val="-4"/>
        </w:rPr>
        <w:t>）</w:t>
      </w:r>
      <w:r>
        <w:rPr>
          <w:spacing w:val="-44"/>
        </w:rPr>
        <w:t xml:space="preserve"> </w:t>
      </w:r>
      <w:r>
        <w:rPr>
          <w:spacing w:val="-4"/>
        </w:rPr>
        <w:t>低标入院分级</w:t>
      </w:r>
    </w:p>
    <w:p>
      <w:pPr>
        <w:pStyle w:val="7"/>
        <w:spacing w:before="292" w:line="216" w:lineRule="auto"/>
        <w:jc w:val="right"/>
      </w:pPr>
      <w:r>
        <w:rPr>
          <w:spacing w:val="-6"/>
        </w:rPr>
        <w:t>通过对住院病人低标入院率的标准化处理来实现。具体</w:t>
      </w:r>
      <w:r>
        <w:rPr>
          <w:spacing w:val="-7"/>
        </w:rPr>
        <w:t>步骤如下：</w:t>
      </w:r>
    </w:p>
    <w:p>
      <w:pPr>
        <w:pStyle w:val="7"/>
        <w:spacing w:before="252" w:line="374" w:lineRule="exact"/>
        <w:ind w:left="49"/>
      </w:pPr>
      <w:r>
        <w:rPr>
          <w:spacing w:val="-5"/>
          <w:position w:val="-1"/>
        </w:rPr>
        <w:t>对</w:t>
      </w:r>
      <w:r>
        <w:rPr>
          <w:rFonts w:ascii="Cambria Math" w:hAnsi="Cambria Math" w:eastAsia="Cambria Math" w:cs="Cambria Math"/>
          <w:spacing w:val="-5"/>
          <w:position w:val="-1"/>
        </w:rPr>
        <w:t>L</w:t>
      </w:r>
      <w:r>
        <w:rPr>
          <w:spacing w:val="-5"/>
          <w:position w:val="-1"/>
        </w:rPr>
        <w:t>取对数</w:t>
      </w:r>
      <w:r>
        <w:rPr>
          <w:rFonts w:ascii="Cambria Math" w:hAnsi="Cambria Math" w:eastAsia="Cambria Math" w:cs="Cambria Math"/>
          <w:spacing w:val="-5"/>
          <w:position w:val="-1"/>
        </w:rPr>
        <w:t>ln</w:t>
      </w:r>
      <w:r>
        <w:rPr>
          <w:rFonts w:ascii="Cambria Math" w:hAnsi="Cambria Math" w:eastAsia="Cambria Math" w:cs="Cambria Math"/>
          <w:spacing w:val="25"/>
          <w:position w:val="-1"/>
        </w:rPr>
        <w:t xml:space="preserve"> </w:t>
      </w:r>
      <w:r>
        <w:rPr>
          <w:rFonts w:ascii="Cambria Math" w:hAnsi="Cambria Math" w:eastAsia="Cambria Math" w:cs="Cambria Math"/>
          <w:spacing w:val="-5"/>
          <w:position w:val="-1"/>
        </w:rPr>
        <w:t>(L</w:t>
      </w:r>
      <w:r>
        <w:rPr>
          <w:rFonts w:ascii="Times New Roman" w:hAnsi="Times New Roman" w:eastAsia="Times New Roman" w:cs="Times New Roman"/>
          <w:spacing w:val="-5"/>
          <w:position w:val="-1"/>
        </w:rPr>
        <w:t>)</w:t>
      </w:r>
      <w:r>
        <w:rPr>
          <w:spacing w:val="-5"/>
          <w:position w:val="-1"/>
        </w:rPr>
        <w:t>；计算</w:t>
      </w:r>
      <w:r>
        <w:rPr>
          <w:rFonts w:ascii="Cambria Math" w:hAnsi="Cambria Math" w:eastAsia="Cambria Math" w:cs="Cambria Math"/>
          <w:spacing w:val="-5"/>
          <w:position w:val="-1"/>
        </w:rPr>
        <w:t>ln</w:t>
      </w:r>
      <w:r>
        <w:rPr>
          <w:rFonts w:ascii="Cambria Math" w:hAnsi="Cambria Math" w:eastAsia="Cambria Math" w:cs="Cambria Math"/>
          <w:spacing w:val="24"/>
          <w:w w:val="101"/>
          <w:position w:val="-1"/>
        </w:rPr>
        <w:t xml:space="preserve"> </w:t>
      </w:r>
      <w:r>
        <w:rPr>
          <w:rFonts w:ascii="Cambria Math" w:hAnsi="Cambria Math" w:eastAsia="Cambria Math" w:cs="Cambria Math"/>
          <w:spacing w:val="-5"/>
          <w:position w:val="-1"/>
        </w:rPr>
        <w:t>(L)</w:t>
      </w:r>
      <w:r>
        <w:rPr>
          <w:spacing w:val="-5"/>
          <w:position w:val="-1"/>
        </w:rPr>
        <w:t>的均值</w:t>
      </w:r>
      <w:r>
        <w:fldChar w:fldCharType="begin"/>
      </w:r>
      <w:r>
        <w:instrText xml:space="preserve">EQ \* jc3 \* hps28 \o\al(\s\up 3(</w:instrText>
      </w:r>
      <w:r>
        <w:rPr>
          <w:rFonts w:ascii="Cambria Math" w:hAnsi="Cambria Math" w:eastAsia="Cambria Math" w:cs="Cambria Math"/>
        </w:rPr>
        <w:instrText xml:space="preserve">̅̅̅</w:instrText>
      </w:r>
      <w:r>
        <w:instrText xml:space="preserve">),</w:instrText>
      </w:r>
      <w:r>
        <w:rPr>
          <w:rFonts w:ascii="Cambria Math" w:hAnsi="Cambria Math" w:eastAsia="Cambria Math" w:cs="Cambria Math"/>
          <w:w w:val="99"/>
          <w:position w:val="-1"/>
        </w:rPr>
        <w:instrText xml:space="preserve">ln</w:instrText>
      </w:r>
      <w:r>
        <w:instrText xml:space="preserve">)</w:instrText>
      </w:r>
      <w:r>
        <w:fldChar w:fldCharType="end"/>
      </w:r>
      <w:r>
        <w:rPr>
          <w:spacing w:val="-5"/>
          <w:position w:val="-1"/>
        </w:rPr>
        <w:t>和标准差</w:t>
      </w:r>
      <w:r>
        <w:rPr>
          <w:rFonts w:ascii="Cambria Math" w:hAnsi="Cambria Math" w:eastAsia="Cambria Math" w:cs="Cambria Math"/>
          <w:spacing w:val="-5"/>
          <w:position w:val="-1"/>
        </w:rPr>
        <w:t>σ</w:t>
      </w:r>
      <w:r>
        <w:rPr>
          <w:spacing w:val="-5"/>
          <w:position w:val="-1"/>
        </w:rPr>
        <w:t>; 计算低指数入院</w:t>
      </w:r>
    </w:p>
    <w:p>
      <w:pPr>
        <w:pStyle w:val="7"/>
        <w:spacing w:before="293" w:line="219" w:lineRule="auto"/>
        <w:ind w:left="50"/>
      </w:pPr>
      <w:r>
        <w:rPr>
          <w:sz w:val="21"/>
        </w:rPr>
        <w:pict>
          <v:shape id="文本框 5" o:spid="_x0000_s1080" o:spt="202" type="#_x0000_t202" style="position:absolute;left:0pt;margin-left:-4.65pt;margin-top:26.55pt;height:156.05pt;width:427.05pt;z-index:251677696;mso-width-relative:page;mso-height-relative:page;" fillcolor="#FFFFFF" filled="t" stroked="f" coordsize="21600,21600" o:gfxdata="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bQ8t&#10;1gAAAAkBAAAPAAAAAAAAAAEAIAAAACIAAABkcnMvZG93bnJldi54bWxQSwECFAAUAAAACACHTuJA&#10;TYJBI1wCAACcBAAADgAAAAAAAAABACAAAAAlAQAAZHJzL2Uyb0RvYy54bWxQSwUGAAAAAAYABgBZ&#10;AQAA8wUAAAAA&#10;">
            <v:path/>
            <v:fill on="t" focussize="0,0"/>
            <v:stroke on="f" weight="0.5pt"/>
            <v:imagedata o:title=""/>
            <o:lock v:ext="edit" aspectratio="f"/>
            <v:textbox>
              <w:txbxContent>
                <w:p>
                  <w:r>
                    <w:drawing>
                      <wp:inline distT="0" distB="0" distL="114300" distR="114300">
                        <wp:extent cx="5226685" cy="1862455"/>
                        <wp:effectExtent l="0" t="0" r="254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5226685" cy="1862455"/>
                                </a:xfrm>
                                <a:prstGeom prst="rect">
                                  <a:avLst/>
                                </a:prstGeom>
                                <a:noFill/>
                                <a:ln>
                                  <a:noFill/>
                                </a:ln>
                              </pic:spPr>
                            </pic:pic>
                          </a:graphicData>
                        </a:graphic>
                      </wp:inline>
                    </w:drawing>
                  </w:r>
                </w:p>
              </w:txbxContent>
            </v:textbox>
          </v:shape>
        </w:pict>
      </w:r>
      <w:r>
        <w:rPr>
          <w:spacing w:val="-4"/>
        </w:rPr>
        <w:t>分级概率：</w:t>
      </w:r>
    </w:p>
    <w:p>
      <w:pPr>
        <w:spacing w:line="120" w:lineRule="exact"/>
      </w:pPr>
    </w:p>
    <w:tbl>
      <w:tblPr>
        <w:tblStyle w:val="31"/>
        <w:tblW w:w="83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3258"/>
        <w:gridCol w:w="38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276" w:type="dxa"/>
            <w:vAlign w:val="top"/>
          </w:tcPr>
          <w:p>
            <w:pPr>
              <w:spacing w:before="129" w:line="219" w:lineRule="auto"/>
              <w:ind w:left="211"/>
              <w:rPr>
                <w:rFonts w:ascii="仿宋" w:hAnsi="仿宋" w:eastAsia="仿宋" w:cs="仿宋"/>
                <w:sz w:val="22"/>
                <w:szCs w:val="22"/>
              </w:rPr>
            </w:pPr>
            <w:r>
              <w:rPr>
                <w:rFonts w:ascii="仿宋" w:hAnsi="仿宋" w:eastAsia="仿宋" w:cs="仿宋"/>
                <w:spacing w:val="-3"/>
                <w:sz w:val="22"/>
                <w:szCs w:val="22"/>
              </w:rPr>
              <w:t>分级序号</w:t>
            </w:r>
          </w:p>
        </w:tc>
        <w:tc>
          <w:tcPr>
            <w:tcW w:w="3258" w:type="dxa"/>
            <w:vAlign w:val="top"/>
          </w:tcPr>
          <w:p>
            <w:pPr>
              <w:spacing w:before="129" w:line="222" w:lineRule="auto"/>
              <w:ind w:left="1424"/>
              <w:rPr>
                <w:rFonts w:ascii="仿宋" w:hAnsi="仿宋" w:eastAsia="仿宋" w:cs="仿宋"/>
                <w:sz w:val="22"/>
                <w:szCs w:val="22"/>
              </w:rPr>
            </w:pPr>
            <w:r>
              <w:rPr>
                <w:rFonts w:ascii="仿宋" w:hAnsi="仿宋" w:eastAsia="仿宋" w:cs="仿宋"/>
                <w:spacing w:val="-5"/>
                <w:sz w:val="22"/>
                <w:szCs w:val="22"/>
              </w:rPr>
              <w:t>定义</w:t>
            </w:r>
          </w:p>
        </w:tc>
        <w:tc>
          <w:tcPr>
            <w:tcW w:w="3831" w:type="dxa"/>
            <w:vAlign w:val="top"/>
          </w:tcPr>
          <w:p>
            <w:pPr>
              <w:spacing w:before="129" w:line="220" w:lineRule="auto"/>
              <w:ind w:left="1707"/>
              <w:rPr>
                <w:rFonts w:ascii="仿宋" w:hAnsi="仿宋" w:eastAsia="仿宋" w:cs="仿宋"/>
                <w:sz w:val="22"/>
                <w:szCs w:val="22"/>
              </w:rPr>
            </w:pPr>
            <w:r>
              <w:rPr>
                <w:rFonts w:ascii="仿宋" w:hAnsi="仿宋" w:eastAsia="仿宋" w:cs="仿宋"/>
                <w:spacing w:val="-4"/>
                <w:sz w:val="22"/>
                <w:szCs w:val="22"/>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Align w:val="top"/>
          </w:tcPr>
          <w:p>
            <w:pPr>
              <w:spacing w:before="165" w:line="187" w:lineRule="auto"/>
              <w:ind w:left="58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3258" w:type="dxa"/>
            <w:vAlign w:val="top"/>
          </w:tcPr>
          <w:p>
            <w:pPr>
              <w:pStyle w:val="33"/>
              <w:spacing w:before="98" w:line="222" w:lineRule="auto"/>
              <w:ind w:left="744"/>
            </w:pPr>
            <w:r>
              <w:rPr>
                <w:spacing w:val="-5"/>
                <w:position w:val="-2"/>
              </w:rPr>
              <w:t>ln(L)</w:t>
            </w:r>
            <w:r>
              <w:rPr>
                <w:spacing w:val="27"/>
                <w:w w:val="101"/>
                <w:position w:val="-2"/>
              </w:rPr>
              <w:t xml:space="preserve"> </w:t>
            </w:r>
            <w:r>
              <w:rPr>
                <w:spacing w:val="-5"/>
                <w:position w:val="-2"/>
              </w:rPr>
              <w:t>&lt;</w:t>
            </w:r>
            <w:r>
              <w:rPr>
                <w:spacing w:val="12"/>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fldChar w:fldCharType="begin"/>
            </w:r>
            <w:r>
              <w:instrText xml:space="preserve">EQ \* jc3 \* hps22 \o\al(\s\up 1(̅̅),</w:instrText>
            </w:r>
            <w:r>
              <w:rPr>
                <w:w w:val="84"/>
                <w:position w:val="-2"/>
              </w:rPr>
              <w:instrText xml:space="preserve">L</w:instrText>
            </w:r>
            <w:r>
              <w:instrText xml:space="preserve">)</w:instrText>
            </w:r>
            <w:r>
              <w:fldChar w:fldCharType="end"/>
            </w:r>
            <w:r>
              <w:rPr>
                <w:position w:val="-6"/>
              </w:rPr>
              <w:drawing>
                <wp:inline distT="0" distB="0" distL="0" distR="0">
                  <wp:extent cx="42545" cy="172085"/>
                  <wp:effectExtent l="0" t="0" r="5080" b="889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5"/>
                          <a:stretch>
                            <a:fillRect/>
                          </a:stretch>
                        </pic:blipFill>
                        <pic:spPr>
                          <a:xfrm>
                            <a:off x="0" y="0"/>
                            <a:ext cx="42712" cy="172211"/>
                          </a:xfrm>
                          <a:prstGeom prst="rect">
                            <a:avLst/>
                          </a:prstGeom>
                        </pic:spPr>
                      </pic:pic>
                    </a:graphicData>
                  </a:graphic>
                </wp:inline>
              </w:drawing>
            </w:r>
            <w:r>
              <w:rPr>
                <w:spacing w:val="15"/>
                <w:position w:val="-2"/>
              </w:rPr>
              <w:t xml:space="preserve"> </w:t>
            </w:r>
            <w:r>
              <w:rPr>
                <w:spacing w:val="-5"/>
                <w:position w:val="-2"/>
              </w:rPr>
              <w:t>−</w:t>
            </w:r>
            <w:r>
              <w:rPr>
                <w:spacing w:val="14"/>
                <w:w w:val="101"/>
                <w:position w:val="-2"/>
              </w:rPr>
              <w:t xml:space="preserve"> </w:t>
            </w:r>
            <w:r>
              <w:rPr>
                <w:spacing w:val="-5"/>
                <w:position w:val="-2"/>
              </w:rPr>
              <w:t>2σ</w:t>
            </w:r>
          </w:p>
        </w:tc>
        <w:tc>
          <w:tcPr>
            <w:tcW w:w="3831" w:type="dxa"/>
            <w:vAlign w:val="top"/>
          </w:tcPr>
          <w:p>
            <w:pPr>
              <w:spacing w:before="125" w:line="219" w:lineRule="auto"/>
              <w:ind w:left="825"/>
              <w:rPr>
                <w:rFonts w:ascii="仿宋" w:hAnsi="仿宋" w:eastAsia="仿宋" w:cs="仿宋"/>
                <w:sz w:val="22"/>
                <w:szCs w:val="22"/>
              </w:rPr>
            </w:pPr>
            <w:r>
              <w:rPr>
                <w:rFonts w:ascii="仿宋" w:hAnsi="仿宋" w:eastAsia="仿宋" w:cs="仿宋"/>
                <w:spacing w:val="-2"/>
                <w:sz w:val="22"/>
                <w:szCs w:val="22"/>
              </w:rPr>
              <w:t>极低概率低指数入院组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Align w:val="top"/>
          </w:tcPr>
          <w:p>
            <w:pPr>
              <w:spacing w:before="166" w:line="187" w:lineRule="auto"/>
              <w:ind w:left="60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258" w:type="dxa"/>
            <w:vAlign w:val="top"/>
          </w:tcPr>
          <w:p>
            <w:pPr>
              <w:pStyle w:val="33"/>
              <w:spacing w:before="98" w:line="222" w:lineRule="auto"/>
              <w:ind w:left="804"/>
            </w:pPr>
            <w:r>
              <w:rPr>
                <w:spacing w:val="-5"/>
                <w:position w:val="-2"/>
              </w:rPr>
              <w:t>ln(L)</w:t>
            </w:r>
            <w:r>
              <w:rPr>
                <w:spacing w:val="32"/>
                <w:w w:val="101"/>
                <w:position w:val="-2"/>
              </w:rPr>
              <w:t xml:space="preserve"> </w:t>
            </w:r>
            <w:r>
              <w:rPr>
                <w:spacing w:val="-5"/>
                <w:position w:val="-2"/>
              </w:rPr>
              <w:t>&lt;</w:t>
            </w:r>
            <w:r>
              <w:rPr>
                <w:spacing w:val="12"/>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910" cy="172085"/>
                  <wp:effectExtent l="0" t="0" r="5715" b="889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6"/>
                          <a:stretch>
                            <a:fillRect/>
                          </a:stretch>
                        </pic:blipFill>
                        <pic:spPr>
                          <a:xfrm>
                            <a:off x="0" y="0"/>
                            <a:ext cx="42052" cy="172211"/>
                          </a:xfrm>
                          <a:prstGeom prst="rect">
                            <a:avLst/>
                          </a:prstGeom>
                        </pic:spPr>
                      </pic:pic>
                    </a:graphicData>
                  </a:graphic>
                </wp:inline>
              </w:drawing>
            </w:r>
            <w:r>
              <w:fldChar w:fldCharType="begin"/>
            </w:r>
            <w:r>
              <w:instrText xml:space="preserve">EQ \* jc3 \* hps22 \o\al(\s\up 1(̅̅),</w:instrText>
            </w:r>
            <w:r>
              <w:rPr>
                <w:w w:val="84"/>
                <w:position w:val="-2"/>
              </w:rPr>
              <w:instrText xml:space="preserve">L</w:instrText>
            </w:r>
            <w:r>
              <w:instrText xml:space="preserve">)</w:instrText>
            </w:r>
            <w:r>
              <w:fldChar w:fldCharType="end"/>
            </w:r>
            <w:r>
              <w:rPr>
                <w:position w:val="-6"/>
              </w:rPr>
              <w:drawing>
                <wp:inline distT="0" distB="0" distL="0" distR="0">
                  <wp:extent cx="42545" cy="172085"/>
                  <wp:effectExtent l="0" t="0" r="5080" b="889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7"/>
                          <a:stretch>
                            <a:fillRect/>
                          </a:stretch>
                        </pic:blipFill>
                        <pic:spPr>
                          <a:xfrm>
                            <a:off x="0" y="0"/>
                            <a:ext cx="42712" cy="172211"/>
                          </a:xfrm>
                          <a:prstGeom prst="rect">
                            <a:avLst/>
                          </a:prstGeom>
                        </pic:spPr>
                      </pic:pic>
                    </a:graphicData>
                  </a:graphic>
                </wp:inline>
              </w:drawing>
            </w:r>
            <w:r>
              <w:rPr>
                <w:spacing w:val="17"/>
                <w:w w:val="101"/>
                <w:position w:val="-2"/>
              </w:rPr>
              <w:t xml:space="preserve"> </w:t>
            </w:r>
            <w:r>
              <w:rPr>
                <w:spacing w:val="-5"/>
                <w:position w:val="-2"/>
              </w:rPr>
              <w:t>−</w:t>
            </w:r>
            <w:r>
              <w:rPr>
                <w:spacing w:val="7"/>
                <w:position w:val="-2"/>
              </w:rPr>
              <w:t xml:space="preserve"> </w:t>
            </w:r>
            <w:r>
              <w:rPr>
                <w:spacing w:val="-5"/>
                <w:position w:val="-2"/>
              </w:rPr>
              <w:t>σ</w:t>
            </w:r>
          </w:p>
        </w:tc>
        <w:tc>
          <w:tcPr>
            <w:tcW w:w="3831" w:type="dxa"/>
            <w:vAlign w:val="top"/>
          </w:tcPr>
          <w:p>
            <w:pPr>
              <w:spacing w:before="126" w:line="219" w:lineRule="auto"/>
              <w:ind w:left="936"/>
              <w:rPr>
                <w:rFonts w:ascii="仿宋" w:hAnsi="仿宋" w:eastAsia="仿宋" w:cs="仿宋"/>
                <w:sz w:val="22"/>
                <w:szCs w:val="22"/>
              </w:rPr>
            </w:pPr>
            <w:r>
              <w:rPr>
                <w:rFonts w:ascii="仿宋" w:hAnsi="仿宋" w:eastAsia="仿宋" w:cs="仿宋"/>
                <w:spacing w:val="-2"/>
                <w:sz w:val="22"/>
                <w:szCs w:val="22"/>
              </w:rPr>
              <w:t>低概率低指数入院组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276" w:type="dxa"/>
            <w:vAlign w:val="top"/>
          </w:tcPr>
          <w:p>
            <w:pPr>
              <w:spacing w:before="170" w:line="187" w:lineRule="auto"/>
              <w:ind w:left="58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258" w:type="dxa"/>
            <w:vAlign w:val="top"/>
          </w:tcPr>
          <w:p>
            <w:pPr>
              <w:pStyle w:val="33"/>
              <w:spacing w:before="102" w:line="222" w:lineRule="auto"/>
              <w:ind w:left="410"/>
            </w:pP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910" cy="172085"/>
                  <wp:effectExtent l="0" t="0" r="5715" b="889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6"/>
                          <a:stretch>
                            <a:fillRect/>
                          </a:stretch>
                        </pic:blipFill>
                        <pic:spPr>
                          <a:xfrm>
                            <a:off x="0" y="0"/>
                            <a:ext cx="42052" cy="172211"/>
                          </a:xfrm>
                          <a:prstGeom prst="rect">
                            <a:avLst/>
                          </a:prstGeom>
                        </pic:spPr>
                      </pic:pic>
                    </a:graphicData>
                  </a:graphic>
                </wp:inline>
              </w:drawing>
            </w:r>
            <w:r>
              <w:fldChar w:fldCharType="begin"/>
            </w:r>
            <w:r>
              <w:instrText xml:space="preserve">EQ \* jc3 \* hps22 \o\al(\s\up 1(̅̅),</w:instrText>
            </w:r>
            <w:r>
              <w:rPr>
                <w:w w:val="84"/>
                <w:position w:val="-2"/>
              </w:rPr>
              <w:instrText xml:space="preserve">L</w:instrText>
            </w:r>
            <w:r>
              <w:instrText xml:space="preserve">)</w:instrText>
            </w:r>
            <w:r>
              <w:fldChar w:fldCharType="end"/>
            </w:r>
            <w:r>
              <w:rPr>
                <w:position w:val="-6"/>
              </w:rPr>
              <w:drawing>
                <wp:inline distT="0" distB="0" distL="0" distR="0">
                  <wp:extent cx="42545" cy="172085"/>
                  <wp:effectExtent l="0" t="0" r="5080" b="889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42711" cy="172211"/>
                          </a:xfrm>
                          <a:prstGeom prst="rect">
                            <a:avLst/>
                          </a:prstGeom>
                        </pic:spPr>
                      </pic:pic>
                    </a:graphicData>
                  </a:graphic>
                </wp:inline>
              </w:drawing>
            </w:r>
            <w:r>
              <w:rPr>
                <w:spacing w:val="21"/>
                <w:w w:val="101"/>
                <w:position w:val="-2"/>
              </w:rPr>
              <w:t xml:space="preserve"> </w:t>
            </w:r>
            <w:r>
              <w:rPr>
                <w:spacing w:val="-7"/>
                <w:position w:val="-2"/>
              </w:rPr>
              <w:t>−</w:t>
            </w:r>
            <w:r>
              <w:rPr>
                <w:spacing w:val="10"/>
                <w:position w:val="-2"/>
              </w:rPr>
              <w:t xml:space="preserve"> </w:t>
            </w:r>
            <w:r>
              <w:rPr>
                <w:spacing w:val="-7"/>
                <w:position w:val="-2"/>
              </w:rPr>
              <w:t>σ</w:t>
            </w:r>
            <w:r>
              <w:rPr>
                <w:spacing w:val="33"/>
                <w:position w:val="-2"/>
              </w:rPr>
              <w:t xml:space="preserve"> </w:t>
            </w:r>
            <w:r>
              <w:rPr>
                <w:spacing w:val="-7"/>
                <w:position w:val="-2"/>
              </w:rPr>
              <w:t>≤</w:t>
            </w:r>
            <w:r>
              <w:rPr>
                <w:spacing w:val="18"/>
                <w:w w:val="101"/>
                <w:position w:val="-2"/>
              </w:rPr>
              <w:t xml:space="preserve"> </w:t>
            </w:r>
            <w:r>
              <w:rPr>
                <w:spacing w:val="-7"/>
                <w:position w:val="-2"/>
              </w:rPr>
              <w:t>ln(L)</w:t>
            </w:r>
            <w:r>
              <w:rPr>
                <w:spacing w:val="30"/>
                <w:position w:val="-2"/>
              </w:rPr>
              <w:t xml:space="preserve"> </w:t>
            </w:r>
            <w:r>
              <w:rPr>
                <w:spacing w:val="-7"/>
                <w:position w:val="-2"/>
              </w:rPr>
              <w:t>&lt;</w:t>
            </w:r>
            <w:r>
              <w:rPr>
                <w:spacing w:val="11"/>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910" cy="172085"/>
                  <wp:effectExtent l="0" t="0" r="5715" b="889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8"/>
                          <a:stretch>
                            <a:fillRect/>
                          </a:stretch>
                        </pic:blipFill>
                        <pic:spPr>
                          <a:xfrm>
                            <a:off x="0" y="0"/>
                            <a:ext cx="42052" cy="172211"/>
                          </a:xfrm>
                          <a:prstGeom prst="rect">
                            <a:avLst/>
                          </a:prstGeom>
                        </pic:spPr>
                      </pic:pic>
                    </a:graphicData>
                  </a:graphic>
                </wp:inline>
              </w:drawing>
            </w:r>
            <w:r>
              <w:fldChar w:fldCharType="begin"/>
            </w:r>
            <w:r>
              <w:instrText xml:space="preserve">EQ \* jc3 \* hps22 \o\al(\s\up 1(̅̅),</w:instrText>
            </w:r>
            <w:r>
              <w:rPr>
                <w:w w:val="84"/>
                <w:position w:val="-2"/>
              </w:rPr>
              <w:instrText xml:space="preserve">L</w:instrText>
            </w:r>
            <w:r>
              <w:instrText xml:space="preserve">)</w:instrText>
            </w:r>
            <w:r>
              <w:fldChar w:fldCharType="end"/>
            </w:r>
            <w:r>
              <w:rPr>
                <w:position w:val="-6"/>
              </w:rPr>
              <w:drawing>
                <wp:inline distT="0" distB="0" distL="0" distR="0">
                  <wp:extent cx="42545" cy="172085"/>
                  <wp:effectExtent l="0" t="0" r="5080" b="889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9"/>
                          <a:stretch>
                            <a:fillRect/>
                          </a:stretch>
                        </pic:blipFill>
                        <pic:spPr>
                          <a:xfrm>
                            <a:off x="0" y="0"/>
                            <a:ext cx="42712" cy="172211"/>
                          </a:xfrm>
                          <a:prstGeom prst="rect">
                            <a:avLst/>
                          </a:prstGeom>
                        </pic:spPr>
                      </pic:pic>
                    </a:graphicData>
                  </a:graphic>
                </wp:inline>
              </w:drawing>
            </w:r>
          </w:p>
        </w:tc>
        <w:tc>
          <w:tcPr>
            <w:tcW w:w="3831" w:type="dxa"/>
            <w:vAlign w:val="top"/>
          </w:tcPr>
          <w:p>
            <w:pPr>
              <w:spacing w:before="129" w:line="219" w:lineRule="auto"/>
              <w:ind w:left="854"/>
              <w:rPr>
                <w:rFonts w:ascii="仿宋" w:hAnsi="仿宋" w:eastAsia="仿宋" w:cs="仿宋"/>
                <w:sz w:val="22"/>
                <w:szCs w:val="22"/>
              </w:rPr>
            </w:pPr>
            <w:r>
              <w:rPr>
                <w:rFonts w:ascii="仿宋" w:hAnsi="仿宋" w:eastAsia="仿宋" w:cs="仿宋"/>
                <w:spacing w:val="-4"/>
                <w:sz w:val="22"/>
                <w:szCs w:val="22"/>
              </w:rPr>
              <w:t>中低概率低指数入院组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Align w:val="top"/>
          </w:tcPr>
          <w:p>
            <w:pPr>
              <w:spacing w:before="168" w:line="187" w:lineRule="auto"/>
              <w:ind w:left="58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258" w:type="dxa"/>
            <w:vAlign w:val="top"/>
          </w:tcPr>
          <w:p>
            <w:pPr>
              <w:pStyle w:val="33"/>
              <w:spacing w:before="100" w:line="222" w:lineRule="auto"/>
              <w:ind w:left="410"/>
            </w:pP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910" cy="172085"/>
                  <wp:effectExtent l="0" t="0" r="5715" b="889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8"/>
                          <a:stretch>
                            <a:fillRect/>
                          </a:stretch>
                        </pic:blipFill>
                        <pic:spPr>
                          <a:xfrm>
                            <a:off x="0" y="0"/>
                            <a:ext cx="42052" cy="172211"/>
                          </a:xfrm>
                          <a:prstGeom prst="rect">
                            <a:avLst/>
                          </a:prstGeom>
                        </pic:spPr>
                      </pic:pic>
                    </a:graphicData>
                  </a:graphic>
                </wp:inline>
              </w:drawing>
            </w:r>
            <w:r>
              <w:fldChar w:fldCharType="begin"/>
            </w:r>
            <w:r>
              <w:instrText xml:space="preserve">EQ \* jc3 \* hps22 \o\al(\s\up 1(̅̅),</w:instrText>
            </w:r>
            <w:r>
              <w:rPr>
                <w:w w:val="84"/>
                <w:position w:val="-2"/>
              </w:rPr>
              <w:instrText xml:space="preserve">L</w:instrText>
            </w:r>
            <w:r>
              <w:instrText xml:space="preserve">)</w:instrText>
            </w:r>
            <w:r>
              <w:fldChar w:fldCharType="end"/>
            </w:r>
            <w:r>
              <w:rPr>
                <w:position w:val="-6"/>
              </w:rPr>
              <w:drawing>
                <wp:inline distT="0" distB="0" distL="0" distR="0">
                  <wp:extent cx="42545" cy="172085"/>
                  <wp:effectExtent l="0" t="0" r="5080" b="889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9"/>
                          <a:stretch>
                            <a:fillRect/>
                          </a:stretch>
                        </pic:blipFill>
                        <pic:spPr>
                          <a:xfrm>
                            <a:off x="0" y="0"/>
                            <a:ext cx="42711" cy="172211"/>
                          </a:xfrm>
                          <a:prstGeom prst="rect">
                            <a:avLst/>
                          </a:prstGeom>
                        </pic:spPr>
                      </pic:pic>
                    </a:graphicData>
                  </a:graphic>
                </wp:inline>
              </w:drawing>
            </w:r>
            <w:r>
              <w:rPr>
                <w:spacing w:val="31"/>
                <w:position w:val="-2"/>
              </w:rPr>
              <w:t xml:space="preserve"> </w:t>
            </w:r>
            <w:r>
              <w:rPr>
                <w:spacing w:val="-6"/>
                <w:position w:val="-2"/>
              </w:rPr>
              <w:t>≤</w:t>
            </w:r>
            <w:r>
              <w:rPr>
                <w:spacing w:val="18"/>
                <w:w w:val="101"/>
                <w:position w:val="-2"/>
              </w:rPr>
              <w:t xml:space="preserve"> </w:t>
            </w:r>
            <w:r>
              <w:rPr>
                <w:spacing w:val="-6"/>
                <w:position w:val="-2"/>
              </w:rPr>
              <w:t>ln(L)</w:t>
            </w:r>
            <w:r>
              <w:rPr>
                <w:spacing w:val="27"/>
                <w:w w:val="101"/>
                <w:position w:val="-2"/>
              </w:rPr>
              <w:t xml:space="preserve"> </w:t>
            </w:r>
            <w:r>
              <w:rPr>
                <w:spacing w:val="-6"/>
                <w:position w:val="-2"/>
              </w:rPr>
              <w:t>&lt;</w:t>
            </w:r>
            <w:r>
              <w:rPr>
                <w:spacing w:val="14"/>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910" cy="172085"/>
                  <wp:effectExtent l="0" t="0" r="5715" b="889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6"/>
                          <a:stretch>
                            <a:fillRect/>
                          </a:stretch>
                        </pic:blipFill>
                        <pic:spPr>
                          <a:xfrm>
                            <a:off x="0" y="0"/>
                            <a:ext cx="42052" cy="172211"/>
                          </a:xfrm>
                          <a:prstGeom prst="rect">
                            <a:avLst/>
                          </a:prstGeom>
                        </pic:spPr>
                      </pic:pic>
                    </a:graphicData>
                  </a:graphic>
                </wp:inline>
              </w:drawing>
            </w:r>
            <w:r>
              <w:fldChar w:fldCharType="begin"/>
            </w:r>
            <w:r>
              <w:instrText xml:space="preserve">EQ \* jc3 \* hps22 \o\al(\s\up 1(̅̅),</w:instrText>
            </w:r>
            <w:r>
              <w:rPr>
                <w:w w:val="84"/>
                <w:position w:val="-2"/>
              </w:rPr>
              <w:instrText xml:space="preserve">L</w:instrText>
            </w:r>
            <w:r>
              <w:instrText xml:space="preserve">)</w:instrText>
            </w:r>
            <w:r>
              <w:fldChar w:fldCharType="end"/>
            </w:r>
            <w:r>
              <w:rPr>
                <w:position w:val="-6"/>
              </w:rPr>
              <w:drawing>
                <wp:inline distT="0" distB="0" distL="0" distR="0">
                  <wp:extent cx="42545" cy="172085"/>
                  <wp:effectExtent l="0" t="0" r="5080" b="889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0"/>
                          <a:stretch>
                            <a:fillRect/>
                          </a:stretch>
                        </pic:blipFill>
                        <pic:spPr>
                          <a:xfrm>
                            <a:off x="0" y="0"/>
                            <a:ext cx="42712" cy="172211"/>
                          </a:xfrm>
                          <a:prstGeom prst="rect">
                            <a:avLst/>
                          </a:prstGeom>
                        </pic:spPr>
                      </pic:pic>
                    </a:graphicData>
                  </a:graphic>
                </wp:inline>
              </w:drawing>
            </w:r>
            <w:r>
              <w:rPr>
                <w:spacing w:val="15"/>
                <w:w w:val="101"/>
                <w:position w:val="-2"/>
              </w:rPr>
              <w:t xml:space="preserve"> </w:t>
            </w:r>
            <w:r>
              <w:rPr>
                <w:spacing w:val="-6"/>
                <w:position w:val="-2"/>
              </w:rPr>
              <w:t>+</w:t>
            </w:r>
            <w:r>
              <w:rPr>
                <w:spacing w:val="10"/>
                <w:position w:val="-2"/>
              </w:rPr>
              <w:t xml:space="preserve"> </w:t>
            </w:r>
            <w:r>
              <w:rPr>
                <w:spacing w:val="-6"/>
                <w:position w:val="-2"/>
              </w:rPr>
              <w:t>σ</w:t>
            </w:r>
          </w:p>
        </w:tc>
        <w:tc>
          <w:tcPr>
            <w:tcW w:w="3831" w:type="dxa"/>
            <w:vAlign w:val="top"/>
          </w:tcPr>
          <w:p>
            <w:pPr>
              <w:spacing w:before="128" w:line="219" w:lineRule="auto"/>
              <w:ind w:left="854"/>
              <w:rPr>
                <w:rFonts w:ascii="仿宋" w:hAnsi="仿宋" w:eastAsia="仿宋" w:cs="仿宋"/>
                <w:sz w:val="22"/>
                <w:szCs w:val="22"/>
              </w:rPr>
            </w:pPr>
            <w:r>
              <w:rPr>
                <w:rFonts w:ascii="仿宋" w:hAnsi="仿宋" w:eastAsia="仿宋" w:cs="仿宋"/>
                <w:spacing w:val="-4"/>
                <w:sz w:val="22"/>
                <w:szCs w:val="22"/>
              </w:rPr>
              <w:t>中高概率低指数入院组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276" w:type="dxa"/>
            <w:vAlign w:val="top"/>
          </w:tcPr>
          <w:p>
            <w:pPr>
              <w:spacing w:before="169" w:line="187" w:lineRule="auto"/>
              <w:ind w:left="584"/>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258" w:type="dxa"/>
            <w:vAlign w:val="top"/>
          </w:tcPr>
          <w:p>
            <w:pPr>
              <w:pStyle w:val="33"/>
              <w:spacing w:before="101" w:line="222" w:lineRule="auto"/>
              <w:ind w:left="804"/>
            </w:pPr>
            <w:r>
              <w:rPr>
                <w:spacing w:val="-5"/>
                <w:position w:val="-1"/>
              </w:rPr>
              <w:t>ln(L)</w:t>
            </w:r>
            <w:r>
              <w:rPr>
                <w:spacing w:val="32"/>
                <w:w w:val="101"/>
                <w:position w:val="-1"/>
              </w:rPr>
              <w:t xml:space="preserve"> </w:t>
            </w:r>
            <w:r>
              <w:rPr>
                <w:spacing w:val="-5"/>
                <w:position w:val="-2"/>
              </w:rPr>
              <w:t>≥</w:t>
            </w:r>
            <w:r>
              <w:rPr>
                <w:spacing w:val="12"/>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6"/>
              </w:rPr>
              <w:drawing>
                <wp:inline distT="0" distB="0" distL="0" distR="0">
                  <wp:extent cx="41910" cy="172085"/>
                  <wp:effectExtent l="0" t="0" r="5715" b="889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6"/>
                          <a:stretch>
                            <a:fillRect/>
                          </a:stretch>
                        </pic:blipFill>
                        <pic:spPr>
                          <a:xfrm>
                            <a:off x="0" y="0"/>
                            <a:ext cx="42052" cy="172211"/>
                          </a:xfrm>
                          <a:prstGeom prst="rect">
                            <a:avLst/>
                          </a:prstGeom>
                        </pic:spPr>
                      </pic:pic>
                    </a:graphicData>
                  </a:graphic>
                </wp:inline>
              </w:drawing>
            </w:r>
            <w:r>
              <w:fldChar w:fldCharType="begin"/>
            </w:r>
            <w:r>
              <w:instrText xml:space="preserve">EQ \* jc3 \* hps22 \o\al(\s\up 1(̅̅),</w:instrText>
            </w:r>
            <w:r>
              <w:rPr>
                <w:w w:val="84"/>
                <w:position w:val="-2"/>
              </w:rPr>
              <w:instrText xml:space="preserve">L</w:instrText>
            </w:r>
            <w:r>
              <w:instrText xml:space="preserve">)</w:instrText>
            </w:r>
            <w:r>
              <w:fldChar w:fldCharType="end"/>
            </w:r>
            <w:r>
              <w:rPr>
                <w:spacing w:val="17"/>
                <w:w w:val="101"/>
                <w:position w:val="-2"/>
              </w:rPr>
              <w:t xml:space="preserve"> </w:t>
            </w:r>
            <w:r>
              <w:rPr>
                <w:spacing w:val="-5"/>
                <w:position w:val="-2"/>
              </w:rPr>
              <w:t>+</w:t>
            </w:r>
            <w:r>
              <w:rPr>
                <w:spacing w:val="7"/>
                <w:position w:val="-2"/>
              </w:rPr>
              <w:t xml:space="preserve"> </w:t>
            </w:r>
            <w:r>
              <w:rPr>
                <w:spacing w:val="-5"/>
                <w:position w:val="-2"/>
              </w:rPr>
              <w:t>σ</w:t>
            </w:r>
          </w:p>
        </w:tc>
        <w:tc>
          <w:tcPr>
            <w:tcW w:w="3831" w:type="dxa"/>
            <w:vAlign w:val="top"/>
          </w:tcPr>
          <w:p>
            <w:pPr>
              <w:spacing w:before="129" w:line="219" w:lineRule="auto"/>
              <w:ind w:left="943"/>
              <w:rPr>
                <w:rFonts w:ascii="仿宋" w:hAnsi="仿宋" w:eastAsia="仿宋" w:cs="仿宋"/>
                <w:sz w:val="22"/>
                <w:szCs w:val="22"/>
              </w:rPr>
            </w:pPr>
            <w:r>
              <w:rPr>
                <w:rFonts w:ascii="仿宋" w:hAnsi="仿宋" w:eastAsia="仿宋" w:cs="仿宋"/>
                <w:spacing w:val="-3"/>
                <w:sz w:val="22"/>
                <w:szCs w:val="22"/>
              </w:rPr>
              <w:t>高概率低指数入院组</w:t>
            </w:r>
          </w:p>
        </w:tc>
      </w:tr>
    </w:tbl>
    <w:p>
      <w:pPr>
        <w:pStyle w:val="7"/>
        <w:numPr>
          <w:ilvl w:val="0"/>
          <w:numId w:val="51"/>
        </w:numPr>
        <w:spacing w:before="172" w:line="217" w:lineRule="auto"/>
        <w:ind w:left="606"/>
        <w:rPr>
          <w:spacing w:val="-3"/>
        </w:rPr>
      </w:pPr>
      <w:r>
        <w:rPr>
          <w:spacing w:val="-3"/>
        </w:rPr>
        <w:t>不同病种低标入院偏离计算</w:t>
      </w:r>
    </w:p>
    <w:p>
      <w:pPr>
        <w:pStyle w:val="7"/>
        <w:spacing w:before="295" w:line="217" w:lineRule="auto"/>
        <w:ind w:left="491"/>
      </w:pPr>
      <w:r>
        <w:rPr>
          <w:spacing w:val="-4"/>
        </w:rPr>
        <w:t>医疗机构不同病种低标入院率偏差的计算方法如下：</w:t>
      </w:r>
    </w:p>
    <w:p>
      <w:pPr>
        <w:spacing w:line="253" w:lineRule="auto"/>
        <w:rPr>
          <w:rFonts w:ascii="Arial"/>
          <w:sz w:val="21"/>
        </w:rPr>
      </w:pPr>
    </w:p>
    <w:p>
      <w:pPr>
        <w:pStyle w:val="7"/>
        <w:spacing w:before="23" w:line="124" w:lineRule="exact"/>
        <w:ind w:left="4237"/>
        <w:rPr>
          <w:sz w:val="7"/>
          <w:szCs w:val="7"/>
        </w:rPr>
      </w:pPr>
      <w:r>
        <w:rPr>
          <w:i/>
          <w:iCs/>
          <w:spacing w:val="75"/>
          <w:w w:val="161"/>
          <w:sz w:val="7"/>
          <w:szCs w:val="7"/>
        </w:rPr>
        <w:t>′</w:t>
      </w:r>
    </w:p>
    <w:p>
      <w:pPr>
        <w:spacing w:before="6" w:line="222" w:lineRule="auto"/>
        <w:ind w:left="3373"/>
        <w:rPr>
          <w:rFonts w:ascii="Cambria Math" w:hAnsi="Cambria Math" w:eastAsia="Cambria Math" w:cs="Cambria Math"/>
          <w:sz w:val="19"/>
          <w:szCs w:val="19"/>
        </w:rPr>
      </w:pPr>
      <w:r>
        <w:rPr>
          <w:rFonts w:ascii="Cambria Math" w:hAnsi="Cambria Math" w:eastAsia="Cambria Math" w:cs="Cambria Math"/>
          <w:position w:val="3"/>
          <w:sz w:val="28"/>
          <w:szCs w:val="28"/>
        </w:rPr>
        <w:t>D</w:t>
      </w:r>
      <w:r>
        <w:rPr>
          <w:rFonts w:ascii="Cambria Math" w:hAnsi="Cambria Math" w:eastAsia="Cambria Math" w:cs="Cambria Math"/>
          <w:position w:val="-2"/>
          <w:sz w:val="19"/>
          <w:szCs w:val="19"/>
        </w:rPr>
        <w:t>x</w:t>
      </w:r>
      <w:r>
        <w:rPr>
          <w:rFonts w:ascii="Cambria Math" w:hAnsi="Cambria Math" w:eastAsia="Cambria Math" w:cs="Cambria Math"/>
          <w:spacing w:val="16"/>
          <w:w w:val="102"/>
          <w:position w:val="-2"/>
          <w:sz w:val="19"/>
          <w:szCs w:val="19"/>
        </w:rPr>
        <w:t xml:space="preserve">  </w:t>
      </w:r>
      <w:r>
        <w:rPr>
          <w:rFonts w:ascii="Cambria Math" w:hAnsi="Cambria Math" w:eastAsia="Cambria Math" w:cs="Cambria Math"/>
          <w:spacing w:val="3"/>
          <w:position w:val="3"/>
          <w:sz w:val="28"/>
          <w:szCs w:val="28"/>
        </w:rPr>
        <w:t>=</w:t>
      </w:r>
      <w:r>
        <w:rPr>
          <w:rFonts w:ascii="Cambria Math" w:hAnsi="Cambria Math" w:eastAsia="Cambria Math" w:cs="Cambria Math"/>
          <w:spacing w:val="22"/>
          <w:position w:val="3"/>
          <w:sz w:val="28"/>
          <w:szCs w:val="28"/>
        </w:rPr>
        <w:t xml:space="preserve"> </w:t>
      </w:r>
      <w:r>
        <w:rPr>
          <w:rFonts w:ascii="Cambria Math" w:hAnsi="Cambria Math" w:eastAsia="Cambria Math" w:cs="Cambria Math"/>
          <w:position w:val="3"/>
          <w:sz w:val="28"/>
          <w:szCs w:val="28"/>
        </w:rPr>
        <w:t>L</w:t>
      </w:r>
      <w:r>
        <w:rPr>
          <w:rFonts w:ascii="Cambria Math" w:hAnsi="Cambria Math" w:eastAsia="Cambria Math" w:cs="Cambria Math"/>
          <w:position w:val="-4"/>
          <w:sz w:val="19"/>
          <w:szCs w:val="19"/>
        </w:rPr>
        <w:t>x</w:t>
      </w:r>
      <w:r>
        <w:rPr>
          <w:rFonts w:ascii="Cambria Math" w:hAnsi="Cambria Math" w:eastAsia="Cambria Math" w:cs="Cambria Math"/>
          <w:spacing w:val="12"/>
          <w:position w:val="-4"/>
          <w:sz w:val="19"/>
          <w:szCs w:val="19"/>
        </w:rPr>
        <w:t xml:space="preserve">   </w:t>
      </w:r>
      <w:r>
        <w:rPr>
          <w:rFonts w:ascii="Cambria Math" w:hAnsi="Cambria Math" w:eastAsia="Cambria Math" w:cs="Cambria Math"/>
          <w:spacing w:val="3"/>
          <w:position w:val="3"/>
          <w:sz w:val="28"/>
          <w:szCs w:val="28"/>
        </w:rPr>
        <w:t xml:space="preserve">− </w:t>
      </w:r>
      <w:r>
        <w:rPr>
          <w:rFonts w:ascii="Cambria Math" w:hAnsi="Cambria Math" w:eastAsia="Cambria Math" w:cs="Cambria Math"/>
          <w:position w:val="3"/>
          <w:sz w:val="28"/>
          <w:szCs w:val="28"/>
        </w:rPr>
        <w:t>L</w:t>
      </w:r>
      <w:r>
        <w:rPr>
          <w:rFonts w:ascii="Cambria Math" w:hAnsi="Cambria Math" w:eastAsia="Cambria Math" w:cs="Cambria Math"/>
          <w:position w:val="-2"/>
          <w:sz w:val="19"/>
          <w:szCs w:val="19"/>
        </w:rPr>
        <w:t>x</w:t>
      </w:r>
    </w:p>
    <w:p>
      <w:pPr>
        <w:pStyle w:val="7"/>
        <w:spacing w:before="141" w:line="209" w:lineRule="auto"/>
        <w:ind w:left="1477"/>
        <w:rPr>
          <w:sz w:val="7"/>
          <w:szCs w:val="7"/>
        </w:rPr>
      </w:pPr>
      <w:r>
        <w:rPr>
          <w:i/>
          <w:iCs/>
          <w:spacing w:val="75"/>
          <w:w w:val="161"/>
          <w:sz w:val="7"/>
          <w:szCs w:val="7"/>
        </w:rPr>
        <w:t>′</w:t>
      </w:r>
    </w:p>
    <w:p>
      <w:pPr>
        <w:pStyle w:val="7"/>
        <w:spacing w:line="307" w:lineRule="auto"/>
        <w:ind w:left="49" w:right="213" w:firstLine="419"/>
      </w:pPr>
      <w:r>
        <w:rPr>
          <w:spacing w:val="-1"/>
        </w:rPr>
        <w:t>其中：</w:t>
      </w:r>
      <w:r>
        <w:rPr>
          <w:rFonts w:ascii="Cambria Math" w:hAnsi="Cambria Math" w:eastAsia="Cambria Math" w:cs="Cambria Math"/>
          <w:spacing w:val="-1"/>
        </w:rPr>
        <w:t>L</w:t>
      </w:r>
      <w:r>
        <w:rPr>
          <w:rFonts w:ascii="Cambria Math" w:hAnsi="Cambria Math" w:eastAsia="Cambria Math" w:cs="Cambria Math"/>
          <w:spacing w:val="-1"/>
          <w:position w:val="-7"/>
          <w:sz w:val="19"/>
          <w:szCs w:val="19"/>
        </w:rPr>
        <w:t>x</w:t>
      </w:r>
      <w:r>
        <w:rPr>
          <w:rFonts w:ascii="Cambria Math" w:hAnsi="Cambria Math" w:eastAsia="Cambria Math" w:cs="Cambria Math"/>
          <w:spacing w:val="11"/>
          <w:position w:val="-7"/>
          <w:sz w:val="19"/>
          <w:szCs w:val="19"/>
        </w:rPr>
        <w:t xml:space="preserve"> </w:t>
      </w:r>
      <w:r>
        <w:rPr>
          <w:spacing w:val="-1"/>
        </w:rPr>
        <w:t>为指定医疗机构不同病种低标入院</w:t>
      </w:r>
      <w:r>
        <w:rPr>
          <w:spacing w:val="-2"/>
        </w:rPr>
        <w:t>率，</w:t>
      </w:r>
      <w:r>
        <w:rPr>
          <w:rFonts w:ascii="Cambria Math" w:hAnsi="Cambria Math" w:eastAsia="Cambria Math" w:cs="Cambria Math"/>
          <w:spacing w:val="-2"/>
        </w:rPr>
        <w:t>L</w:t>
      </w:r>
      <w:r>
        <w:rPr>
          <w:rFonts w:ascii="Cambria Math" w:hAnsi="Cambria Math" w:eastAsia="Cambria Math" w:cs="Cambria Math"/>
          <w:spacing w:val="-2"/>
          <w:position w:val="-5"/>
          <w:sz w:val="19"/>
          <w:szCs w:val="19"/>
        </w:rPr>
        <w:t xml:space="preserve">x </w:t>
      </w:r>
      <w:r>
        <w:rPr>
          <w:spacing w:val="-2"/>
        </w:rPr>
        <w:t>为区域不同病</w:t>
      </w:r>
      <w:r>
        <w:rPr>
          <w:spacing w:val="-3"/>
        </w:rPr>
        <w:t>种平均低标入院率。</w:t>
      </w:r>
    </w:p>
    <w:p>
      <w:pPr>
        <w:pStyle w:val="7"/>
        <w:spacing w:before="223" w:line="218" w:lineRule="auto"/>
        <w:ind w:left="606"/>
      </w:pPr>
      <w:r>
        <w:rPr>
          <w:spacing w:val="-4"/>
        </w:rPr>
        <w:t>（</w:t>
      </w:r>
      <w:r>
        <w:rPr>
          <w:rFonts w:ascii="Times New Roman" w:hAnsi="Times New Roman" w:eastAsia="Times New Roman" w:cs="Times New Roman"/>
          <w:spacing w:val="-4"/>
        </w:rPr>
        <w:t>4</w:t>
      </w:r>
      <w:r>
        <w:rPr>
          <w:spacing w:val="-4"/>
        </w:rPr>
        <w:t>）</w:t>
      </w:r>
      <w:r>
        <w:rPr>
          <w:spacing w:val="-36"/>
        </w:rPr>
        <w:t xml:space="preserve"> </w:t>
      </w:r>
      <w:r>
        <w:rPr>
          <w:spacing w:val="-4"/>
        </w:rPr>
        <w:t>低标入院评分计算</w:t>
      </w:r>
    </w:p>
    <w:p>
      <w:pPr>
        <w:pStyle w:val="7"/>
        <w:spacing w:before="295" w:line="397" w:lineRule="auto"/>
        <w:ind w:left="52" w:right="215" w:firstLine="438"/>
      </w:pPr>
      <w:r>
        <w:rPr>
          <w:spacing w:val="-2"/>
        </w:rPr>
        <w:t>医疗机构低标入院评分（</w:t>
      </w:r>
      <w:r>
        <w:rPr>
          <w:rFonts w:ascii="Times New Roman" w:hAnsi="Times New Roman" w:eastAsia="Times New Roman" w:cs="Times New Roman"/>
          <w:spacing w:val="-2"/>
        </w:rPr>
        <w:t>Rating</w:t>
      </w:r>
      <w:r>
        <w:rPr>
          <w:rFonts w:ascii="Times New Roman" w:hAnsi="Times New Roman" w:eastAsia="Times New Roman" w:cs="Times New Roman"/>
          <w:spacing w:val="21"/>
          <w:w w:val="101"/>
        </w:rPr>
        <w:t xml:space="preserve"> </w:t>
      </w:r>
      <w:r>
        <w:rPr>
          <w:rFonts w:ascii="Times New Roman" w:hAnsi="Times New Roman" w:eastAsia="Times New Roman" w:cs="Times New Roman"/>
          <w:spacing w:val="-2"/>
        </w:rPr>
        <w:t>of low- RW</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admission</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R</w:t>
      </w:r>
      <w:r>
        <w:rPr>
          <w:rFonts w:ascii="Times New Roman" w:hAnsi="Times New Roman" w:eastAsia="Times New Roman" w:cs="Times New Roman"/>
          <w:spacing w:val="-3"/>
        </w:rPr>
        <w:t>LA</w:t>
      </w:r>
      <w:r>
        <w:rPr>
          <w:spacing w:val="-3"/>
        </w:rPr>
        <w:t>）基</w:t>
      </w:r>
      <w:r>
        <w:rPr>
          <w:spacing w:val="-4"/>
        </w:rPr>
        <w:t>于病种进行测算，其作为负向指标最终实现针对指定医疗机构病种组合层的调校，其计算方法如下：</w:t>
      </w:r>
    </w:p>
    <w:p>
      <w:pPr>
        <w:pStyle w:val="7"/>
        <w:spacing w:before="65" w:line="385" w:lineRule="exact"/>
        <w:ind w:left="636"/>
      </w:pPr>
      <w:r>
        <w:rPr>
          <w:spacing w:val="-20"/>
          <w:position w:val="3"/>
        </w:rPr>
        <w:t>当</w:t>
      </w:r>
      <w:r>
        <w:rPr>
          <w:rFonts w:ascii="Cambria Math" w:hAnsi="Cambria Math" w:eastAsia="Cambria Math" w:cs="Cambria Math"/>
          <w:spacing w:val="-20"/>
          <w:position w:val="3"/>
        </w:rPr>
        <w:t>D</w:t>
      </w:r>
      <w:r>
        <w:rPr>
          <w:rFonts w:ascii="Cambria Math" w:hAnsi="Cambria Math" w:eastAsia="Cambria Math" w:cs="Cambria Math"/>
          <w:spacing w:val="-5"/>
          <w:position w:val="-2"/>
          <w:sz w:val="19"/>
          <w:szCs w:val="19"/>
        </w:rPr>
        <w:t>x</w:t>
      </w:r>
      <w:r>
        <w:rPr>
          <w:rFonts w:ascii="Cambria Math" w:hAnsi="Cambria Math" w:eastAsia="Cambria Math" w:cs="Cambria Math"/>
          <w:spacing w:val="21"/>
          <w:w w:val="101"/>
          <w:position w:val="-2"/>
          <w:sz w:val="19"/>
          <w:szCs w:val="19"/>
        </w:rPr>
        <w:t xml:space="preserve">  </w:t>
      </w:r>
      <w:r>
        <w:rPr>
          <w:rFonts w:ascii="Cambria Math" w:hAnsi="Cambria Math" w:eastAsia="Cambria Math" w:cs="Cambria Math"/>
          <w:spacing w:val="-5"/>
          <w:position w:val="3"/>
        </w:rPr>
        <w:t>≤</w:t>
      </w:r>
      <w:r>
        <w:rPr>
          <w:rFonts w:ascii="Cambria Math" w:hAnsi="Cambria Math" w:eastAsia="Cambria Math" w:cs="Cambria Math"/>
          <w:spacing w:val="32"/>
          <w:position w:val="3"/>
        </w:rPr>
        <w:t xml:space="preserve"> </w:t>
      </w:r>
      <w:r>
        <w:rPr>
          <w:rFonts w:ascii="Cambria Math" w:hAnsi="Cambria Math" w:eastAsia="Cambria Math" w:cs="Cambria Math"/>
          <w:spacing w:val="-5"/>
          <w:position w:val="3"/>
        </w:rPr>
        <w:t>0</w:t>
      </w:r>
      <w:r>
        <w:rPr>
          <w:spacing w:val="-5"/>
          <w:position w:val="3"/>
        </w:rPr>
        <w:t>时，令</w:t>
      </w:r>
      <w:r>
        <w:rPr>
          <w:spacing w:val="-65"/>
          <w:position w:val="3"/>
        </w:rPr>
        <w:t xml:space="preserve"> </w:t>
      </w:r>
      <w:r>
        <w:rPr>
          <w:rFonts w:ascii="Times New Roman" w:hAnsi="Times New Roman" w:eastAsia="Times New Roman" w:cs="Times New Roman"/>
          <w:spacing w:val="-5"/>
          <w:position w:val="3"/>
        </w:rPr>
        <w:t>RLA</w:t>
      </w:r>
      <w:r>
        <w:rPr>
          <w:rFonts w:ascii="Cambria Math" w:hAnsi="Cambria Math" w:eastAsia="Cambria Math" w:cs="Cambria Math"/>
          <w:spacing w:val="-5"/>
          <w:position w:val="3"/>
        </w:rPr>
        <w:t>=</w:t>
      </w:r>
      <w:r>
        <w:rPr>
          <w:rFonts w:ascii="Cambria Math" w:hAnsi="Cambria Math" w:eastAsia="Cambria Math" w:cs="Cambria Math"/>
          <w:spacing w:val="31"/>
          <w:w w:val="101"/>
          <w:position w:val="3"/>
        </w:rPr>
        <w:t xml:space="preserve"> </w:t>
      </w:r>
      <w:r>
        <w:rPr>
          <w:rFonts w:ascii="Cambria Math" w:hAnsi="Cambria Math" w:eastAsia="Cambria Math" w:cs="Cambria Math"/>
          <w:spacing w:val="-5"/>
          <w:position w:val="3"/>
        </w:rPr>
        <w:t>0</w:t>
      </w:r>
      <w:r>
        <w:rPr>
          <w:spacing w:val="-5"/>
          <w:position w:val="3"/>
        </w:rPr>
        <w:t>；</w:t>
      </w:r>
    </w:p>
    <w:p>
      <w:pPr>
        <w:pStyle w:val="7"/>
        <w:spacing w:before="240" w:line="359" w:lineRule="auto"/>
        <w:ind w:left="56" w:right="211" w:firstLine="579"/>
        <w:rPr>
          <w:spacing w:val="-10"/>
        </w:rPr>
      </w:pPr>
      <w:r>
        <w:rPr>
          <w:spacing w:val="-20"/>
        </w:rPr>
        <w:t>当</w:t>
      </w:r>
      <w:r>
        <w:rPr>
          <w:rFonts w:ascii="Cambria Math" w:hAnsi="Cambria Math" w:eastAsia="Cambria Math" w:cs="Cambria Math"/>
          <w:spacing w:val="-20"/>
        </w:rPr>
        <w:t>D</w:t>
      </w:r>
      <w:r>
        <w:rPr>
          <w:rFonts w:ascii="Cambria Math" w:hAnsi="Cambria Math" w:eastAsia="Cambria Math" w:cs="Cambria Math"/>
          <w:spacing w:val="-6"/>
          <w:position w:val="-5"/>
          <w:sz w:val="19"/>
          <w:szCs w:val="19"/>
        </w:rPr>
        <w:t>x</w:t>
      </w:r>
      <w:r>
        <w:rPr>
          <w:rFonts w:ascii="Cambria Math" w:hAnsi="Cambria Math" w:eastAsia="Cambria Math" w:cs="Cambria Math"/>
          <w:spacing w:val="22"/>
          <w:w w:val="101"/>
          <w:position w:val="-5"/>
          <w:sz w:val="19"/>
          <w:szCs w:val="19"/>
        </w:rPr>
        <w:t xml:space="preserve">  </w:t>
      </w:r>
      <w:r>
        <w:rPr>
          <w:rFonts w:ascii="Cambria Math" w:hAnsi="Cambria Math" w:eastAsia="Cambria Math" w:cs="Cambria Math"/>
          <w:spacing w:val="-6"/>
        </w:rPr>
        <w:t>&gt;</w:t>
      </w:r>
      <w:r>
        <w:rPr>
          <w:rFonts w:ascii="Cambria Math" w:hAnsi="Cambria Math" w:eastAsia="Cambria Math" w:cs="Cambria Math"/>
          <w:spacing w:val="31"/>
          <w:w w:val="101"/>
        </w:rPr>
        <w:t xml:space="preserve"> </w:t>
      </w:r>
      <w:r>
        <w:rPr>
          <w:rFonts w:ascii="Cambria Math" w:hAnsi="Cambria Math" w:eastAsia="Cambria Math" w:cs="Cambria Math"/>
          <w:spacing w:val="-6"/>
        </w:rPr>
        <w:t>0</w:t>
      </w:r>
      <w:r>
        <w:rPr>
          <w:spacing w:val="-6"/>
        </w:rPr>
        <w:t>时，令</w:t>
      </w:r>
      <w:r>
        <w:rPr>
          <w:spacing w:val="-66"/>
        </w:rPr>
        <w:t xml:space="preserve"> </w:t>
      </w:r>
      <w:r>
        <w:rPr>
          <w:rFonts w:ascii="Times New Roman" w:hAnsi="Times New Roman" w:eastAsia="Times New Roman" w:cs="Times New Roman"/>
          <w:spacing w:val="-6"/>
        </w:rPr>
        <w:t>RLA</w:t>
      </w:r>
      <w:r>
        <w:rPr>
          <w:rFonts w:ascii="Cambria Math" w:hAnsi="Cambria Math" w:eastAsia="Cambria Math" w:cs="Cambria Math"/>
          <w:spacing w:val="-6"/>
        </w:rPr>
        <w:t>=</w:t>
      </w:r>
      <w:r>
        <w:rPr>
          <w:rFonts w:ascii="Cambria Math" w:hAnsi="Cambria Math" w:eastAsia="Cambria Math" w:cs="Cambria Math"/>
          <w:spacing w:val="22"/>
          <w:w w:val="101"/>
        </w:rPr>
        <w:t xml:space="preserve"> </w:t>
      </w:r>
      <w:r>
        <w:rPr>
          <w:rFonts w:ascii="Cambria Math" w:hAnsi="Cambria Math" w:eastAsia="Cambria Math" w:cs="Cambria Math"/>
          <w:spacing w:val="-6"/>
        </w:rPr>
        <w:t>R</w:t>
      </w:r>
      <w:r>
        <w:rPr>
          <w:rFonts w:ascii="Cambria Math" w:hAnsi="Cambria Math" w:eastAsia="Cambria Math" w:cs="Cambria Math"/>
          <w:spacing w:val="27"/>
          <w:w w:val="101"/>
        </w:rPr>
        <w:t xml:space="preserve"> </w:t>
      </w:r>
      <w:r>
        <w:rPr>
          <w:rFonts w:ascii="Cambria Math" w:hAnsi="Cambria Math" w:eastAsia="Cambria Math" w:cs="Cambria Math"/>
          <w:spacing w:val="-6"/>
        </w:rPr>
        <w:t>∗ D</w:t>
      </w:r>
      <w:r>
        <w:rPr>
          <w:rFonts w:ascii="Cambria Math" w:hAnsi="Cambria Math" w:eastAsia="Cambria Math" w:cs="Cambria Math"/>
          <w:spacing w:val="-6"/>
          <w:position w:val="-5"/>
          <w:sz w:val="19"/>
          <w:szCs w:val="19"/>
        </w:rPr>
        <w:t>x</w:t>
      </w:r>
      <w:r>
        <w:rPr>
          <w:spacing w:val="-6"/>
        </w:rPr>
        <w:t>，其中</w:t>
      </w:r>
      <w:r>
        <w:rPr>
          <w:spacing w:val="-65"/>
        </w:rPr>
        <w:t xml:space="preserve"> </w:t>
      </w:r>
      <w:r>
        <w:rPr>
          <w:rFonts w:ascii="Times New Roman" w:hAnsi="Times New Roman" w:eastAsia="Times New Roman" w:cs="Times New Roman"/>
          <w:spacing w:val="-6"/>
        </w:rPr>
        <w:t>R</w:t>
      </w:r>
      <w:r>
        <w:rPr>
          <w:spacing w:val="-6"/>
        </w:rPr>
        <w:t>为病种对应概率分级的权</w:t>
      </w:r>
      <w:r>
        <w:rPr>
          <w:spacing w:val="-10"/>
        </w:rPr>
        <w:t>重，具体如下：</w:t>
      </w:r>
    </w:p>
    <w:p>
      <w:pPr>
        <w:pStyle w:val="7"/>
        <w:spacing w:before="240" w:line="359" w:lineRule="auto"/>
        <w:ind w:left="56" w:right="211" w:firstLine="579"/>
        <w:rPr>
          <w:spacing w:val="-10"/>
        </w:rPr>
      </w:pPr>
    </w:p>
    <w:tbl>
      <w:tblPr>
        <w:tblStyle w:val="31"/>
        <w:tblW w:w="5494" w:type="dxa"/>
        <w:tblInd w:w="14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3458"/>
        <w:gridCol w:w="11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24" w:type="dxa"/>
            <w:vAlign w:val="top"/>
          </w:tcPr>
          <w:p>
            <w:pPr>
              <w:spacing w:before="103" w:line="219" w:lineRule="auto"/>
              <w:ind w:left="254"/>
              <w:rPr>
                <w:rFonts w:ascii="仿宋" w:hAnsi="仿宋" w:eastAsia="仿宋" w:cs="仿宋"/>
                <w:sz w:val="22"/>
                <w:szCs w:val="22"/>
              </w:rPr>
            </w:pPr>
            <w:r>
              <w:rPr>
                <w:rFonts w:ascii="仿宋" w:hAnsi="仿宋" w:eastAsia="仿宋" w:cs="仿宋"/>
                <w:spacing w:val="-4"/>
                <w:sz w:val="22"/>
                <w:szCs w:val="22"/>
              </w:rPr>
              <w:t>序号</w:t>
            </w:r>
          </w:p>
        </w:tc>
        <w:tc>
          <w:tcPr>
            <w:tcW w:w="3458" w:type="dxa"/>
            <w:vAlign w:val="top"/>
          </w:tcPr>
          <w:p>
            <w:pPr>
              <w:spacing w:before="103" w:line="219" w:lineRule="auto"/>
              <w:ind w:left="1298"/>
              <w:rPr>
                <w:rFonts w:ascii="仿宋" w:hAnsi="仿宋" w:eastAsia="仿宋" w:cs="仿宋"/>
                <w:sz w:val="22"/>
                <w:szCs w:val="22"/>
              </w:rPr>
            </w:pPr>
            <w:r>
              <w:rPr>
                <w:rFonts w:ascii="仿宋" w:hAnsi="仿宋" w:eastAsia="仿宋" w:cs="仿宋"/>
                <w:spacing w:val="-3"/>
                <w:sz w:val="22"/>
                <w:szCs w:val="22"/>
              </w:rPr>
              <w:t>概率分级</w:t>
            </w:r>
          </w:p>
        </w:tc>
        <w:tc>
          <w:tcPr>
            <w:tcW w:w="1112" w:type="dxa"/>
            <w:vAlign w:val="top"/>
          </w:tcPr>
          <w:p>
            <w:pPr>
              <w:spacing w:before="103" w:line="219" w:lineRule="auto"/>
              <w:ind w:left="346"/>
              <w:rPr>
                <w:rFonts w:ascii="仿宋" w:hAnsi="仿宋" w:eastAsia="仿宋" w:cs="仿宋"/>
                <w:sz w:val="22"/>
                <w:szCs w:val="22"/>
              </w:rPr>
            </w:pPr>
            <w:r>
              <w:rPr>
                <w:rFonts w:ascii="仿宋" w:hAnsi="仿宋" w:eastAsia="仿宋" w:cs="仿宋"/>
                <w:spacing w:val="-4"/>
                <w:sz w:val="22"/>
                <w:szCs w:val="22"/>
              </w:rPr>
              <w:t>权重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4" w:type="dxa"/>
            <w:vAlign w:val="top"/>
          </w:tcPr>
          <w:p>
            <w:pPr>
              <w:spacing w:before="139" w:line="187" w:lineRule="auto"/>
              <w:ind w:left="42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458" w:type="dxa"/>
            <w:vAlign w:val="top"/>
          </w:tcPr>
          <w:p>
            <w:pPr>
              <w:spacing w:before="98" w:line="219" w:lineRule="auto"/>
              <w:ind w:left="748"/>
              <w:rPr>
                <w:rFonts w:ascii="仿宋" w:hAnsi="仿宋" w:eastAsia="仿宋" w:cs="仿宋"/>
                <w:sz w:val="22"/>
                <w:szCs w:val="22"/>
              </w:rPr>
            </w:pPr>
            <w:r>
              <w:rPr>
                <w:rFonts w:ascii="仿宋" w:hAnsi="仿宋" w:eastAsia="仿宋" w:cs="仿宋"/>
                <w:spacing w:val="-2"/>
                <w:sz w:val="22"/>
                <w:szCs w:val="22"/>
              </w:rPr>
              <w:t>极低概率低标入院组</w:t>
            </w:r>
          </w:p>
        </w:tc>
        <w:tc>
          <w:tcPr>
            <w:tcW w:w="1112" w:type="dxa"/>
            <w:vAlign w:val="top"/>
          </w:tcPr>
          <w:p>
            <w:pPr>
              <w:spacing w:before="139" w:line="187"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4" w:type="dxa"/>
            <w:vAlign w:val="top"/>
          </w:tcPr>
          <w:p>
            <w:pPr>
              <w:spacing w:before="140" w:line="187" w:lineRule="auto"/>
              <w:ind w:left="40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458" w:type="dxa"/>
            <w:vAlign w:val="top"/>
          </w:tcPr>
          <w:p>
            <w:pPr>
              <w:spacing w:before="99" w:line="219" w:lineRule="auto"/>
              <w:ind w:left="859"/>
              <w:rPr>
                <w:rFonts w:ascii="仿宋" w:hAnsi="仿宋" w:eastAsia="仿宋" w:cs="仿宋"/>
                <w:sz w:val="22"/>
                <w:szCs w:val="22"/>
              </w:rPr>
            </w:pPr>
            <w:r>
              <w:rPr>
                <w:rFonts w:ascii="仿宋" w:hAnsi="仿宋" w:eastAsia="仿宋" w:cs="仿宋"/>
                <w:spacing w:val="-2"/>
                <w:sz w:val="22"/>
                <w:szCs w:val="22"/>
              </w:rPr>
              <w:t>低概率低标入院组</w:t>
            </w:r>
          </w:p>
        </w:tc>
        <w:tc>
          <w:tcPr>
            <w:tcW w:w="1112" w:type="dxa"/>
            <w:vAlign w:val="top"/>
          </w:tcPr>
          <w:p>
            <w:pPr>
              <w:spacing w:before="139" w:line="187"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4" w:type="dxa"/>
            <w:vAlign w:val="top"/>
          </w:tcPr>
          <w:p>
            <w:pPr>
              <w:spacing w:before="140" w:line="187" w:lineRule="auto"/>
              <w:ind w:left="41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458" w:type="dxa"/>
            <w:vAlign w:val="top"/>
          </w:tcPr>
          <w:p>
            <w:pPr>
              <w:spacing w:before="100" w:line="219" w:lineRule="auto"/>
              <w:ind w:left="777"/>
              <w:rPr>
                <w:rFonts w:ascii="仿宋" w:hAnsi="仿宋" w:eastAsia="仿宋" w:cs="仿宋"/>
                <w:sz w:val="22"/>
                <w:szCs w:val="22"/>
              </w:rPr>
            </w:pPr>
            <w:r>
              <w:rPr>
                <w:rFonts w:ascii="仿宋" w:hAnsi="仿宋" w:eastAsia="仿宋" w:cs="仿宋"/>
                <w:spacing w:val="-5"/>
                <w:sz w:val="22"/>
                <w:szCs w:val="22"/>
              </w:rPr>
              <w:t>中低概率低标入院组</w:t>
            </w:r>
          </w:p>
        </w:tc>
        <w:tc>
          <w:tcPr>
            <w:tcW w:w="1112" w:type="dxa"/>
            <w:vAlign w:val="top"/>
          </w:tcPr>
          <w:p>
            <w:pPr>
              <w:spacing w:before="140" w:line="187"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4" w:type="dxa"/>
            <w:vAlign w:val="top"/>
          </w:tcPr>
          <w:p>
            <w:pPr>
              <w:spacing w:before="141" w:line="187" w:lineRule="auto"/>
              <w:ind w:left="40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458" w:type="dxa"/>
            <w:vAlign w:val="top"/>
          </w:tcPr>
          <w:p>
            <w:pPr>
              <w:spacing w:before="101" w:line="219" w:lineRule="auto"/>
              <w:ind w:left="777"/>
              <w:rPr>
                <w:rFonts w:ascii="仿宋" w:hAnsi="仿宋" w:eastAsia="仿宋" w:cs="仿宋"/>
                <w:sz w:val="22"/>
                <w:szCs w:val="22"/>
              </w:rPr>
            </w:pPr>
            <w:r>
              <w:rPr>
                <w:rFonts w:ascii="仿宋" w:hAnsi="仿宋" w:eastAsia="仿宋" w:cs="仿宋"/>
                <w:spacing w:val="-5"/>
                <w:sz w:val="22"/>
                <w:szCs w:val="22"/>
              </w:rPr>
              <w:t>中高概率低标入院组</w:t>
            </w:r>
          </w:p>
        </w:tc>
        <w:tc>
          <w:tcPr>
            <w:tcW w:w="1112" w:type="dxa"/>
            <w:vAlign w:val="top"/>
          </w:tcPr>
          <w:p>
            <w:pPr>
              <w:spacing w:before="141" w:line="187"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24" w:type="dxa"/>
            <w:vAlign w:val="top"/>
          </w:tcPr>
          <w:p>
            <w:pPr>
              <w:spacing w:before="145" w:line="184" w:lineRule="auto"/>
              <w:ind w:left="413"/>
              <w:rPr>
                <w:rFonts w:ascii="Times New Roman" w:hAnsi="Times New Roman" w:eastAsia="Times New Roman" w:cs="Times New Roman"/>
                <w:b w:val="0"/>
                <w:bCs w:val="0"/>
                <w:sz w:val="22"/>
                <w:szCs w:val="22"/>
              </w:rPr>
            </w:pPr>
            <w:r>
              <w:rPr>
                <w:rFonts w:ascii="Times New Roman" w:hAnsi="Times New Roman" w:eastAsia="Times New Roman" w:cs="Times New Roman"/>
                <w:b w:val="0"/>
                <w:bCs w:val="0"/>
                <w:sz w:val="22"/>
                <w:szCs w:val="22"/>
              </w:rPr>
              <w:t>5</w:t>
            </w:r>
          </w:p>
        </w:tc>
        <w:tc>
          <w:tcPr>
            <w:tcW w:w="3458" w:type="dxa"/>
            <w:vAlign w:val="top"/>
          </w:tcPr>
          <w:p>
            <w:pPr>
              <w:spacing w:before="102" w:line="219" w:lineRule="auto"/>
              <w:ind w:left="866"/>
              <w:rPr>
                <w:rFonts w:ascii="仿宋" w:hAnsi="仿宋" w:eastAsia="仿宋" w:cs="仿宋"/>
                <w:b w:val="0"/>
                <w:bCs w:val="0"/>
                <w:sz w:val="22"/>
                <w:szCs w:val="22"/>
              </w:rPr>
            </w:pPr>
            <w:r>
              <w:rPr>
                <w:rFonts w:ascii="仿宋" w:hAnsi="仿宋" w:eastAsia="仿宋" w:cs="仿宋"/>
                <w:b w:val="0"/>
                <w:bCs w:val="0"/>
                <w:spacing w:val="-3"/>
                <w:sz w:val="22"/>
                <w:szCs w:val="22"/>
              </w:rPr>
              <w:t>高概率低标入院组</w:t>
            </w:r>
          </w:p>
        </w:tc>
        <w:tc>
          <w:tcPr>
            <w:tcW w:w="1112" w:type="dxa"/>
            <w:vAlign w:val="top"/>
          </w:tcPr>
          <w:p>
            <w:pPr>
              <w:spacing w:before="142" w:line="187" w:lineRule="auto"/>
              <w:ind w:left="369"/>
              <w:rPr>
                <w:rFonts w:ascii="Times New Roman" w:hAnsi="Times New Roman" w:eastAsia="Times New Roman" w:cs="Times New Roman"/>
                <w:b w:val="0"/>
                <w:bCs w:val="0"/>
                <w:sz w:val="22"/>
                <w:szCs w:val="22"/>
              </w:rPr>
            </w:pPr>
            <w:r>
              <w:rPr>
                <w:rFonts w:ascii="Times New Roman" w:hAnsi="Times New Roman" w:eastAsia="Times New Roman" w:cs="Times New Roman"/>
                <w:b w:val="0"/>
                <w:bCs w:val="0"/>
                <w:spacing w:val="-2"/>
                <w:sz w:val="22"/>
                <w:szCs w:val="22"/>
              </w:rPr>
              <w:t>0.15</w:t>
            </w:r>
          </w:p>
        </w:tc>
      </w:tr>
    </w:tbl>
    <w:p>
      <w:pPr>
        <w:spacing w:before="100" w:line="221" w:lineRule="auto"/>
        <w:ind w:left="20"/>
        <w:outlineLvl w:val="1"/>
        <w:rPr>
          <w:rFonts w:ascii="楷体" w:hAnsi="楷体" w:eastAsia="楷体" w:cs="楷体"/>
          <w:b w:val="0"/>
          <w:bCs w:val="0"/>
          <w:sz w:val="31"/>
          <w:szCs w:val="31"/>
        </w:rPr>
      </w:pPr>
      <w:bookmarkStart w:id="133" w:name="_Toc14507"/>
      <w:r>
        <w:rPr>
          <w:rFonts w:ascii="Times New Roman" w:hAnsi="Times New Roman" w:eastAsia="Times New Roman" w:cs="Times New Roman"/>
          <w:b w:val="0"/>
          <w:bCs w:val="0"/>
          <w:spacing w:val="6"/>
          <w:sz w:val="31"/>
          <w:szCs w:val="31"/>
        </w:rPr>
        <w:t xml:space="preserve">4 </w:t>
      </w:r>
      <w:r>
        <w:rPr>
          <w:rFonts w:ascii="楷体" w:hAnsi="楷体" w:eastAsia="楷体" w:cs="楷体"/>
          <w:b w:val="0"/>
          <w:bCs w:val="0"/>
          <w:spacing w:val="6"/>
          <w:sz w:val="31"/>
          <w:szCs w:val="31"/>
        </w:rPr>
        <w:t>超长住院评分辅助目录</w:t>
      </w:r>
      <w:bookmarkEnd w:id="133"/>
    </w:p>
    <w:p>
      <w:pPr>
        <w:spacing w:line="437" w:lineRule="auto"/>
        <w:rPr>
          <w:rFonts w:ascii="Arial"/>
          <w:sz w:val="21"/>
        </w:rPr>
      </w:pPr>
    </w:p>
    <w:p>
      <w:pPr>
        <w:pStyle w:val="7"/>
        <w:spacing w:before="91" w:line="405" w:lineRule="auto"/>
        <w:ind w:left="34" w:firstLine="559"/>
        <w:jc w:val="both"/>
      </w:pPr>
      <w:r>
        <w:rPr>
          <w:spacing w:val="-4"/>
        </w:rPr>
        <w:t>大数据可以对区域内每一个病种组合的平均住院日进行标化，超</w:t>
      </w:r>
      <w:r>
        <w:rPr>
          <w:spacing w:val="-6"/>
        </w:rPr>
        <w:t>出区域内每病种平均住院日</w:t>
      </w:r>
      <w:r>
        <w:rPr>
          <w:spacing w:val="-24"/>
        </w:rPr>
        <w:t xml:space="preserve"> </w:t>
      </w:r>
      <w:r>
        <w:rPr>
          <w:rFonts w:ascii="Times New Roman" w:hAnsi="Times New Roman" w:eastAsia="Times New Roman" w:cs="Times New Roman"/>
          <w:spacing w:val="-6"/>
        </w:rPr>
        <w:t>1</w:t>
      </w:r>
      <w:r>
        <w:rPr>
          <w:spacing w:val="-6"/>
        </w:rPr>
        <w:t>倍及以上的为超长住院病例。由于疾病</w:t>
      </w:r>
      <w:r>
        <w:rPr>
          <w:spacing w:val="-10"/>
        </w:rPr>
        <w:t>的不确定性，疾病个体差异、复杂程度等均会对应不同的平均住院日</w:t>
      </w:r>
      <w:r>
        <w:rPr>
          <w:rFonts w:hint="eastAsia"/>
          <w:spacing w:val="-10"/>
          <w:lang w:eastAsia="zh-CN"/>
        </w:rPr>
        <w:t>，</w:t>
      </w:r>
      <w:r>
        <w:rPr>
          <w:spacing w:val="-1"/>
        </w:rPr>
        <w:t>分析不同病种延长住院的发生频率，对资源消耗增加程度进行评估，</w:t>
      </w:r>
      <w:r>
        <w:rPr>
          <w:spacing w:val="-5"/>
        </w:rPr>
        <w:t>以确定超长住院的合理性。</w:t>
      </w:r>
    </w:p>
    <w:p>
      <w:pPr>
        <w:pStyle w:val="7"/>
        <w:spacing w:before="45" w:line="401" w:lineRule="auto"/>
        <w:ind w:left="35" w:right="83" w:firstLine="560"/>
      </w:pPr>
      <w:r>
        <w:rPr>
          <w:spacing w:val="-4"/>
        </w:rPr>
        <w:t>通过大数据方法计算超长住院病例在不同医疗机构的发生</w:t>
      </w:r>
      <w:r>
        <w:rPr>
          <w:spacing w:val="-5"/>
        </w:rPr>
        <w:t>率，与</w:t>
      </w:r>
      <w:r>
        <w:rPr>
          <w:spacing w:val="-4"/>
        </w:rPr>
        <w:t>区域标准形成比对，从而反映医疗机构疾病治疗管理水平、床位使用</w:t>
      </w:r>
      <w:r>
        <w:rPr>
          <w:spacing w:val="-2"/>
        </w:rPr>
        <w:t>效率，以及资源利用的科学程度等。</w:t>
      </w:r>
    </w:p>
    <w:p>
      <w:pPr>
        <w:pStyle w:val="7"/>
        <w:spacing w:before="51" w:line="218" w:lineRule="auto"/>
        <w:ind w:left="590"/>
      </w:pPr>
      <w:r>
        <w:rPr>
          <w:spacing w:val="-5"/>
        </w:rPr>
        <w:t>（</w:t>
      </w:r>
      <w:r>
        <w:rPr>
          <w:rFonts w:ascii="Times New Roman" w:hAnsi="Times New Roman" w:eastAsia="Times New Roman" w:cs="Times New Roman"/>
          <w:spacing w:val="-5"/>
        </w:rPr>
        <w:t>1</w:t>
      </w:r>
      <w:r>
        <w:rPr>
          <w:spacing w:val="-5"/>
        </w:rPr>
        <w:t>）</w:t>
      </w:r>
      <w:r>
        <w:rPr>
          <w:spacing w:val="-40"/>
        </w:rPr>
        <w:t xml:space="preserve"> </w:t>
      </w:r>
      <w:r>
        <w:rPr>
          <w:spacing w:val="-5"/>
        </w:rPr>
        <w:t>基础值计算</w:t>
      </w:r>
    </w:p>
    <w:p>
      <w:pPr>
        <w:pStyle w:val="7"/>
        <w:spacing w:before="295" w:line="383" w:lineRule="auto"/>
        <w:ind w:left="29" w:right="80" w:firstLine="562"/>
      </w:pPr>
      <w:r>
        <w:t>假设区域层面某类病种组合内的实际病例数分别为</w:t>
      </w:r>
      <w:r>
        <w:rPr>
          <w:rFonts w:ascii="Cambria Math" w:hAnsi="Cambria Math" w:eastAsia="Cambria Math" w:cs="Cambria Math"/>
        </w:rPr>
        <w:t>n</w:t>
      </w:r>
      <w:r>
        <w:t>，实际床日</w:t>
      </w:r>
      <w:r>
        <w:rPr>
          <w:spacing w:val="-6"/>
        </w:rPr>
        <w:t>数为</w:t>
      </w:r>
      <w:r>
        <w:rPr>
          <w:spacing w:val="-64"/>
        </w:rPr>
        <w:t xml:space="preserve"> </w:t>
      </w:r>
      <w:r>
        <w:rPr>
          <w:rFonts w:ascii="Times New Roman" w:hAnsi="Times New Roman" w:eastAsia="Times New Roman" w:cs="Times New Roman"/>
          <w:spacing w:val="-6"/>
        </w:rPr>
        <w:t>B</w:t>
      </w:r>
      <w:r>
        <w:rPr>
          <w:spacing w:val="-6"/>
        </w:rPr>
        <w:t>。</w:t>
      </w:r>
    </w:p>
    <w:p>
      <w:pPr>
        <w:pStyle w:val="7"/>
        <w:spacing w:before="28"/>
        <w:ind w:left="589"/>
      </w:pPr>
      <w:r>
        <w:rPr>
          <w:spacing w:val="-1"/>
        </w:rPr>
        <w:t>平均住院日（</w:t>
      </w:r>
      <w:r>
        <w:rPr>
          <w:rFonts w:ascii="Times New Roman" w:hAnsi="Times New Roman" w:eastAsia="Times New Roman" w:cs="Times New Roman"/>
          <w:spacing w:val="-1"/>
        </w:rPr>
        <w:t>Average Length of Stay</w:t>
      </w:r>
      <w:r>
        <w:rPr>
          <w:spacing w:val="5"/>
        </w:rPr>
        <w:t>）：</w:t>
      </w:r>
      <w:r>
        <w:rPr>
          <w:rFonts w:ascii="Cambria Math" w:hAnsi="Cambria Math" w:eastAsia="Cambria Math" w:cs="Cambria Math"/>
          <w:spacing w:val="-1"/>
        </w:rPr>
        <w:t>A</w:t>
      </w:r>
      <w:r>
        <w:rPr>
          <w:rFonts w:ascii="Cambria Math" w:hAnsi="Cambria Math" w:eastAsia="Cambria Math" w:cs="Cambria Math"/>
          <w:spacing w:val="40"/>
        </w:rPr>
        <w:t xml:space="preserve"> </w:t>
      </w:r>
      <w:r>
        <w:rPr>
          <w:rFonts w:ascii="Cambria Math" w:hAnsi="Cambria Math" w:eastAsia="Cambria Math" w:cs="Cambria Math"/>
          <w:spacing w:val="-1"/>
        </w:rPr>
        <w:t xml:space="preserve">= </w:t>
      </w:r>
      <w:r>
        <w:rPr>
          <w:position w:val="-18"/>
        </w:rPr>
        <w:drawing>
          <wp:inline distT="0" distB="0" distL="0" distR="0">
            <wp:extent cx="89535" cy="304165"/>
            <wp:effectExtent l="0" t="0" r="5715" b="635"/>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1"/>
                    <a:stretch>
                      <a:fillRect/>
                    </a:stretch>
                  </pic:blipFill>
                  <pic:spPr>
                    <a:xfrm>
                      <a:off x="0" y="0"/>
                      <a:ext cx="89915" cy="304742"/>
                    </a:xfrm>
                    <a:prstGeom prst="rect">
                      <a:avLst/>
                    </a:prstGeom>
                  </pic:spPr>
                </pic:pic>
              </a:graphicData>
            </a:graphic>
          </wp:inline>
        </w:drawing>
      </w:r>
    </w:p>
    <w:p>
      <w:pPr>
        <w:pStyle w:val="7"/>
        <w:spacing w:before="201" w:line="379" w:lineRule="auto"/>
        <w:ind w:left="89" w:right="85" w:firstLine="499"/>
      </w:pPr>
      <w:r>
        <w:rPr>
          <w:spacing w:val="-4"/>
        </w:rPr>
        <w:t>基于平均住院日对各病例进行筛查，计算指定病种组合内的住院</w:t>
      </w:r>
      <w:r>
        <w:rPr>
          <w:spacing w:val="3"/>
        </w:rPr>
        <w:t xml:space="preserve"> </w:t>
      </w:r>
      <w:r>
        <w:rPr>
          <w:spacing w:val="-2"/>
        </w:rPr>
        <w:t>日</w:t>
      </w:r>
      <w:r>
        <w:rPr>
          <w:rFonts w:ascii="Cambria Math" w:hAnsi="Cambria Math" w:eastAsia="Cambria Math" w:cs="Cambria Math"/>
          <w:spacing w:val="-2"/>
        </w:rPr>
        <w:t>≥</w:t>
      </w:r>
      <w:r>
        <w:rPr>
          <w:rFonts w:ascii="Cambria Math" w:hAnsi="Cambria Math" w:eastAsia="Cambria Math" w:cs="Cambria Math"/>
          <w:spacing w:val="43"/>
        </w:rPr>
        <w:t xml:space="preserve"> </w:t>
      </w:r>
      <w:r>
        <w:rPr>
          <w:rFonts w:ascii="Cambria Math" w:hAnsi="Cambria Math" w:eastAsia="Cambria Math" w:cs="Cambria Math"/>
          <w:spacing w:val="-2"/>
        </w:rPr>
        <w:t>2A</w:t>
      </w:r>
      <w:r>
        <w:rPr>
          <w:spacing w:val="-2"/>
        </w:rPr>
        <w:t>的实际病例数分别为</w:t>
      </w:r>
      <w:r>
        <w:rPr>
          <w:rFonts w:ascii="Times New Roman" w:hAnsi="Times New Roman" w:eastAsia="Times New Roman" w:cs="Times New Roman"/>
          <w:spacing w:val="-2"/>
        </w:rPr>
        <w:t>m</w:t>
      </w:r>
      <w:r>
        <w:rPr>
          <w:spacing w:val="-2"/>
        </w:rPr>
        <w:t>。</w:t>
      </w:r>
    </w:p>
    <w:p>
      <w:pPr>
        <w:pStyle w:val="7"/>
        <w:ind w:right="63"/>
        <w:jc w:val="center"/>
        <w:rPr>
          <w:rFonts w:ascii="Cambria Math" w:hAnsi="Cambria Math" w:eastAsia="Cambria Math" w:cs="Cambria Math"/>
        </w:rPr>
      </w:pPr>
      <w:r>
        <w:rPr>
          <w:spacing w:val="-2"/>
        </w:rPr>
        <w:t>超长住院率（</w:t>
      </w:r>
      <w:r>
        <w:rPr>
          <w:rFonts w:ascii="Times New Roman" w:hAnsi="Times New Roman" w:eastAsia="Times New Roman" w:cs="Times New Roman"/>
          <w:spacing w:val="-2"/>
        </w:rPr>
        <w:t>Exceed</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long</w:t>
      </w:r>
      <w:r>
        <w:rPr>
          <w:rFonts w:ascii="Times New Roman" w:hAnsi="Times New Roman" w:eastAsia="Times New Roman" w:cs="Times New Roman"/>
          <w:spacing w:val="24"/>
        </w:rPr>
        <w:t xml:space="preserve"> </w:t>
      </w:r>
      <w:r>
        <w:rPr>
          <w:rFonts w:ascii="Times New Roman" w:hAnsi="Times New Roman" w:eastAsia="Times New Roman" w:cs="Times New Roman"/>
          <w:spacing w:val="-2"/>
        </w:rPr>
        <w:t>hospitalization</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Rate</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ER</w:t>
      </w:r>
      <w:r>
        <w:rPr>
          <w:spacing w:val="5"/>
        </w:rPr>
        <w:t>）：</w:t>
      </w:r>
      <w:r>
        <w:rPr>
          <w:rFonts w:ascii="Cambria Math" w:hAnsi="Cambria Math" w:eastAsia="Cambria Math" w:cs="Cambria Math"/>
          <w:spacing w:val="-2"/>
        </w:rPr>
        <w:t>ER</w:t>
      </w:r>
      <w:r>
        <w:rPr>
          <w:rFonts w:ascii="Cambria Math" w:hAnsi="Cambria Math" w:eastAsia="Cambria Math" w:cs="Cambria Math"/>
          <w:spacing w:val="44"/>
        </w:rPr>
        <w:t xml:space="preserve"> </w:t>
      </w:r>
      <w:r>
        <w:rPr>
          <w:rFonts w:ascii="Cambria Math" w:hAnsi="Cambria Math" w:eastAsia="Cambria Math" w:cs="Cambria Math"/>
          <w:spacing w:val="-2"/>
        </w:rPr>
        <w:t>=</w:t>
      </w:r>
      <w:r>
        <w:rPr>
          <w:rFonts w:ascii="Cambria Math" w:hAnsi="Cambria Math" w:eastAsia="Cambria Math" w:cs="Cambria Math"/>
          <w:spacing w:val="16"/>
          <w:w w:val="101"/>
        </w:rPr>
        <w:t xml:space="preserve"> </w:t>
      </w:r>
      <w:r>
        <w:rPr>
          <w:position w:val="-18"/>
        </w:rPr>
        <w:drawing>
          <wp:inline distT="0" distB="0" distL="0" distR="0">
            <wp:extent cx="120015" cy="321310"/>
            <wp:effectExtent l="0" t="0" r="3810" b="254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2"/>
                    <a:stretch>
                      <a:fillRect/>
                    </a:stretch>
                  </pic:blipFill>
                  <pic:spPr>
                    <a:xfrm>
                      <a:off x="0" y="0"/>
                      <a:ext cx="120396" cy="321563"/>
                    </a:xfrm>
                    <a:prstGeom prst="rect">
                      <a:avLst/>
                    </a:prstGeom>
                  </pic:spPr>
                </pic:pic>
              </a:graphicData>
            </a:graphic>
          </wp:inline>
        </w:drawing>
      </w:r>
      <w:r>
        <w:rPr>
          <w:rFonts w:ascii="Cambria Math" w:hAnsi="Cambria Math" w:eastAsia="Cambria Math" w:cs="Cambria Math"/>
          <w:spacing w:val="19"/>
          <w:w w:val="101"/>
        </w:rPr>
        <w:t xml:space="preserve"> </w:t>
      </w:r>
      <w:r>
        <w:rPr>
          <w:rFonts w:ascii="Cambria Math" w:hAnsi="Cambria Math" w:eastAsia="Cambria Math" w:cs="Cambria Math"/>
          <w:spacing w:val="-2"/>
        </w:rPr>
        <w:t>∗</w:t>
      </w:r>
    </w:p>
    <w:p>
      <w:pPr>
        <w:rPr>
          <w:rFonts w:hint="eastAsia" w:ascii="Cambria Math" w:hAnsi="Cambria Math" w:eastAsia="宋体" w:cs="Cambria Math"/>
          <w:sz w:val="28"/>
          <w:szCs w:val="28"/>
          <w:lang w:val="en-US" w:eastAsia="zh-CN"/>
        </w:rPr>
      </w:pPr>
      <w:r>
        <w:rPr>
          <w:rFonts w:hint="eastAsia" w:ascii="Cambria Math" w:hAnsi="Cambria Math" w:eastAsia="宋体" w:cs="Cambria Math"/>
          <w:sz w:val="28"/>
          <w:szCs w:val="28"/>
          <w:lang w:val="en-US" w:eastAsia="zh-CN"/>
        </w:rPr>
        <w:t>100%</w:t>
      </w:r>
    </w:p>
    <w:p>
      <w:pPr>
        <w:rPr>
          <w:rFonts w:hint="eastAsia" w:ascii="Cambria Math" w:hAnsi="Cambria Math" w:eastAsia="宋体" w:cs="Cambria Math"/>
          <w:sz w:val="28"/>
          <w:szCs w:val="28"/>
          <w:lang w:val="en-US" w:eastAsia="zh-CN"/>
        </w:rPr>
      </w:pPr>
    </w:p>
    <w:p>
      <w:pPr>
        <w:pStyle w:val="7"/>
        <w:numPr>
          <w:ilvl w:val="0"/>
          <w:numId w:val="46"/>
        </w:numPr>
        <w:spacing w:before="91" w:line="218" w:lineRule="auto"/>
        <w:ind w:left="0" w:leftChars="0" w:firstLine="544" w:firstLineChars="200"/>
        <w:rPr>
          <w:spacing w:val="-4"/>
        </w:rPr>
      </w:pPr>
      <w:r>
        <w:rPr>
          <w:spacing w:val="-4"/>
        </w:rPr>
        <w:t>超长住院分级</w:t>
      </w:r>
    </w:p>
    <w:p>
      <w:pPr>
        <w:pStyle w:val="7"/>
        <w:numPr>
          <w:ilvl w:val="0"/>
          <w:numId w:val="0"/>
        </w:numPr>
        <w:spacing w:before="91" w:line="218" w:lineRule="auto"/>
        <w:rPr>
          <w:rFonts w:hint="default" w:eastAsia="宋体"/>
          <w:spacing w:val="-4"/>
          <w:lang w:val="en-US" w:eastAsia="zh-CN"/>
        </w:rPr>
      </w:pPr>
      <w:r>
        <w:rPr>
          <w:rFonts w:hint="eastAsia"/>
          <w:spacing w:val="-4"/>
          <w:lang w:val="en-US" w:eastAsia="zh-CN"/>
        </w:rPr>
        <w:t xml:space="preserve">    通过对住院病人超长住院率的标准化处理来实现。具体步骤如下：</w:t>
      </w:r>
    </w:p>
    <w:p>
      <w:pPr>
        <w:pStyle w:val="7"/>
        <w:spacing w:before="252" w:line="218" w:lineRule="auto"/>
      </w:pPr>
      <w:r>
        <w:rPr>
          <w:spacing w:val="-4"/>
          <w:position w:val="-1"/>
        </w:rPr>
        <w:t>对</w:t>
      </w:r>
      <w:r>
        <w:rPr>
          <w:spacing w:val="-23"/>
          <w:position w:val="-1"/>
        </w:rPr>
        <w:t xml:space="preserve"> </w:t>
      </w:r>
      <w:r>
        <w:rPr>
          <w:rFonts w:ascii="Times New Roman" w:hAnsi="Times New Roman" w:eastAsia="Times New Roman" w:cs="Times New Roman"/>
          <w:spacing w:val="-4"/>
          <w:position w:val="-1"/>
        </w:rPr>
        <w:t>ER</w:t>
      </w:r>
      <w:r>
        <w:rPr>
          <w:spacing w:val="-4"/>
          <w:position w:val="-1"/>
        </w:rPr>
        <w:t>取对数</w:t>
      </w:r>
      <w:r>
        <w:rPr>
          <w:rFonts w:ascii="Cambria Math" w:hAnsi="Cambria Math" w:eastAsia="Cambria Math" w:cs="Cambria Math"/>
          <w:spacing w:val="-4"/>
          <w:position w:val="-1"/>
        </w:rPr>
        <w:t>ln</w:t>
      </w:r>
      <w:r>
        <w:rPr>
          <w:rFonts w:ascii="Cambria Math" w:hAnsi="Cambria Math" w:eastAsia="Cambria Math" w:cs="Cambria Math"/>
          <w:spacing w:val="25"/>
          <w:w w:val="101"/>
          <w:position w:val="-1"/>
        </w:rPr>
        <w:t xml:space="preserve"> </w:t>
      </w:r>
      <w:r>
        <w:rPr>
          <w:rFonts w:ascii="Cambria Math" w:hAnsi="Cambria Math" w:eastAsia="Cambria Math" w:cs="Cambria Math"/>
          <w:spacing w:val="-4"/>
          <w:position w:val="-1"/>
        </w:rPr>
        <w:t>(ER</w:t>
      </w:r>
      <w:r>
        <w:rPr>
          <w:rFonts w:ascii="Times New Roman" w:hAnsi="Times New Roman" w:eastAsia="Times New Roman" w:cs="Times New Roman"/>
          <w:spacing w:val="-4"/>
          <w:position w:val="-1"/>
        </w:rPr>
        <w:t>)</w:t>
      </w:r>
      <w:r>
        <w:rPr>
          <w:spacing w:val="-4"/>
          <w:position w:val="-1"/>
        </w:rPr>
        <w:t>；计算</w:t>
      </w:r>
      <w:r>
        <w:rPr>
          <w:rFonts w:ascii="Cambria Math" w:hAnsi="Cambria Math" w:eastAsia="Cambria Math" w:cs="Cambria Math"/>
          <w:spacing w:val="-4"/>
          <w:position w:val="-1"/>
        </w:rPr>
        <w:t>ln</w:t>
      </w:r>
      <w:r>
        <w:rPr>
          <w:rFonts w:ascii="Cambria Math" w:hAnsi="Cambria Math" w:eastAsia="Cambria Math" w:cs="Cambria Math"/>
          <w:spacing w:val="24"/>
          <w:w w:val="101"/>
          <w:position w:val="-1"/>
        </w:rPr>
        <w:t xml:space="preserve"> </w:t>
      </w:r>
      <w:r>
        <w:rPr>
          <w:rFonts w:ascii="Cambria Math" w:hAnsi="Cambria Math" w:eastAsia="Cambria Math" w:cs="Cambria Math"/>
          <w:spacing w:val="-4"/>
          <w:position w:val="-1"/>
        </w:rPr>
        <w:t>(ER)</w:t>
      </w:r>
      <w:r>
        <w:rPr>
          <w:spacing w:val="-4"/>
          <w:position w:val="-1"/>
        </w:rPr>
        <w:t>的均值</w:t>
      </w:r>
      <w:r>
        <w:fldChar w:fldCharType="begin"/>
      </w:r>
      <w:r>
        <w:instrText xml:space="preserve">EQ \* jc3 \* hps28 \o\al(\s\up 2(</w:instrText>
      </w:r>
      <w:r>
        <w:rPr>
          <w:rFonts w:ascii="Cambria Math" w:hAnsi="Cambria Math" w:eastAsia="Cambria Math" w:cs="Cambria Math"/>
          <w:spacing w:val="1"/>
          <w:w w:val="175"/>
        </w:rPr>
        <w:instrText xml:space="preserve"> </w:instrText>
      </w:r>
      <w:r>
        <w:rPr>
          <w:rFonts w:ascii="Cambria Math" w:hAnsi="Cambria Math" w:eastAsia="Cambria Math" w:cs="Cambria Math"/>
        </w:rPr>
        <w:instrText xml:space="preserve">̅̅</w:instrText>
      </w:r>
      <w:r>
        <w:instrText xml:space="preserve">),</w:instrText>
      </w:r>
      <w:r>
        <w:rPr>
          <w:rFonts w:ascii="Cambria Math" w:hAnsi="Cambria Math" w:eastAsia="Cambria Math" w:cs="Cambria Math"/>
          <w:w w:val="99"/>
          <w:position w:val="-1"/>
        </w:rPr>
        <w:instrText xml:space="preserve">ln</w:instrText>
      </w:r>
      <w:r>
        <w:instrText xml:space="preserve">)</w:instrText>
      </w:r>
      <w:r>
        <w:fldChar w:fldCharType="end"/>
      </w:r>
      <w:r>
        <w:rPr>
          <w:rFonts w:ascii="Cambria Math" w:hAnsi="Cambria Math" w:eastAsia="Cambria Math" w:cs="Cambria Math"/>
          <w:position w:val="5"/>
        </w:rPr>
        <w:t>̅</w:t>
      </w:r>
      <w:r>
        <w:rPr>
          <w:position w:val="-6"/>
        </w:rPr>
        <w:drawing>
          <wp:inline distT="0" distB="0" distL="0" distR="0">
            <wp:extent cx="57150" cy="2190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3"/>
                    <a:stretch>
                      <a:fillRect/>
                    </a:stretch>
                  </pic:blipFill>
                  <pic:spPr>
                    <a:xfrm>
                      <a:off x="0" y="0"/>
                      <a:ext cx="57658" cy="219455"/>
                    </a:xfrm>
                    <a:prstGeom prst="rect">
                      <a:avLst/>
                    </a:prstGeom>
                  </pic:spPr>
                </pic:pic>
              </a:graphicData>
            </a:graphic>
          </wp:inline>
        </w:drawing>
      </w:r>
      <w:r>
        <w:fldChar w:fldCharType="begin"/>
      </w:r>
      <w:r>
        <w:instrText xml:space="preserve">EQ \* jc3 \* hps28 \o\al(\s\up 2(</w:instrText>
      </w:r>
      <w:r>
        <w:rPr>
          <w:rFonts w:ascii="Cambria Math" w:hAnsi="Cambria Math" w:eastAsia="Cambria Math" w:cs="Cambria Math"/>
        </w:rPr>
        <w:instrText xml:space="preserve">̅̅</w:instrText>
      </w:r>
      <w:r>
        <w:instrText xml:space="preserve">),</w:instrText>
      </w:r>
      <w:r>
        <w:rPr>
          <w:rFonts w:ascii="Cambria Math" w:hAnsi="Cambria Math" w:eastAsia="Cambria Math" w:cs="Cambria Math"/>
          <w:w w:val="86"/>
          <w:position w:val="-1"/>
        </w:rPr>
        <w:instrText xml:space="preserve">E</w:instrText>
      </w:r>
      <w:r>
        <w:instrText xml:space="preserve">)</w:instrText>
      </w:r>
      <w:r>
        <w:fldChar w:fldCharType="end"/>
      </w:r>
      <w:r>
        <w:fldChar w:fldCharType="begin"/>
      </w:r>
      <w:r>
        <w:instrText xml:space="preserve">EQ \* jc3 \* hps28 \o\al(\s\up 2(</w:instrText>
      </w:r>
      <w:r>
        <w:rPr>
          <w:rFonts w:ascii="Cambria Math" w:hAnsi="Cambria Math" w:eastAsia="Cambria Math" w:cs="Cambria Math"/>
        </w:rPr>
        <w:instrText xml:space="preserve">̅̅</w:instrText>
      </w:r>
      <w:r>
        <w:instrText xml:space="preserve">),</w:instrText>
      </w:r>
      <w:r>
        <w:rPr>
          <w:rFonts w:ascii="Cambria Math" w:hAnsi="Cambria Math" w:eastAsia="Cambria Math" w:cs="Cambria Math"/>
          <w:w w:val="80"/>
          <w:position w:val="-1"/>
        </w:rPr>
        <w:instrText xml:space="preserve">R</w:instrText>
      </w:r>
      <w:r>
        <w:instrText xml:space="preserve">)</w:instrText>
      </w:r>
      <w:r>
        <w:fldChar w:fldCharType="end"/>
      </w:r>
      <w:r>
        <w:rPr>
          <w:position w:val="-6"/>
        </w:rPr>
        <w:drawing>
          <wp:inline distT="0" distB="0" distL="0" distR="0">
            <wp:extent cx="53340" cy="219075"/>
            <wp:effectExtent l="0" t="0" r="381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4"/>
                    <a:stretch>
                      <a:fillRect/>
                    </a:stretch>
                  </pic:blipFill>
                  <pic:spPr>
                    <a:xfrm>
                      <a:off x="0" y="0"/>
                      <a:ext cx="53966" cy="219455"/>
                    </a:xfrm>
                    <a:prstGeom prst="rect">
                      <a:avLst/>
                    </a:prstGeom>
                  </pic:spPr>
                </pic:pic>
              </a:graphicData>
            </a:graphic>
          </wp:inline>
        </w:drawing>
      </w:r>
      <w:r>
        <w:rPr>
          <w:spacing w:val="21"/>
          <w:position w:val="-1"/>
        </w:rPr>
        <w:t>和标准差</w:t>
      </w:r>
      <w:r>
        <w:rPr>
          <w:rFonts w:ascii="Cambria Math" w:hAnsi="Cambria Math" w:eastAsia="Cambria Math" w:cs="Cambria Math"/>
          <w:spacing w:val="21"/>
          <w:position w:val="-1"/>
        </w:rPr>
        <w:t>σ</w:t>
      </w:r>
      <w:r>
        <w:rPr>
          <w:spacing w:val="21"/>
          <w:position w:val="-1"/>
        </w:rPr>
        <w:t>;计算超</w:t>
      </w:r>
    </w:p>
    <w:p>
      <w:pPr>
        <w:pStyle w:val="7"/>
        <w:spacing w:before="293" w:line="218" w:lineRule="auto"/>
        <w:ind w:left="47"/>
        <w:rPr>
          <w:spacing w:val="-2"/>
        </w:rPr>
      </w:pPr>
      <w:r>
        <w:rPr>
          <w:spacing w:val="-2"/>
        </w:rPr>
        <w:t>长住院分级概率：</w:t>
      </w:r>
    </w:p>
    <w:p>
      <w:pPr>
        <w:pStyle w:val="7"/>
        <w:spacing w:before="293" w:line="218" w:lineRule="auto"/>
        <w:ind w:left="47"/>
        <w:rPr>
          <w:spacing w:val="-2"/>
        </w:rPr>
      </w:pPr>
      <w:r>
        <w:drawing>
          <wp:inline distT="0" distB="0" distL="114300" distR="114300">
            <wp:extent cx="5264150" cy="1838325"/>
            <wp:effectExtent l="0" t="0" r="317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5"/>
                    <a:stretch>
                      <a:fillRect/>
                    </a:stretch>
                  </pic:blipFill>
                  <pic:spPr>
                    <a:xfrm>
                      <a:off x="0" y="0"/>
                      <a:ext cx="5264150" cy="1838325"/>
                    </a:xfrm>
                    <a:prstGeom prst="rect">
                      <a:avLst/>
                    </a:prstGeom>
                    <a:noFill/>
                    <a:ln>
                      <a:noFill/>
                    </a:ln>
                  </pic:spPr>
                </pic:pic>
              </a:graphicData>
            </a:graphic>
          </wp:inline>
        </w:drawing>
      </w:r>
    </w:p>
    <w:p>
      <w:pPr>
        <w:pStyle w:val="7"/>
        <w:spacing w:before="172" w:line="217" w:lineRule="auto"/>
      </w:pPr>
      <w:r>
        <w:rPr>
          <w:spacing w:val="-3"/>
        </w:rPr>
        <w:t>（</w:t>
      </w:r>
      <w:r>
        <w:rPr>
          <w:rFonts w:ascii="Times New Roman" w:hAnsi="Times New Roman" w:eastAsia="Times New Roman" w:cs="Times New Roman"/>
          <w:spacing w:val="-3"/>
        </w:rPr>
        <w:t>3</w:t>
      </w:r>
      <w:r>
        <w:rPr>
          <w:spacing w:val="-3"/>
        </w:rPr>
        <w:t>）</w:t>
      </w:r>
      <w:r>
        <w:rPr>
          <w:spacing w:val="-36"/>
        </w:rPr>
        <w:t xml:space="preserve"> </w:t>
      </w:r>
      <w:r>
        <w:rPr>
          <w:spacing w:val="-3"/>
        </w:rPr>
        <w:t>不同病种超长住院偏离计算</w:t>
      </w:r>
    </w:p>
    <w:p>
      <w:pPr>
        <w:pStyle w:val="7"/>
        <w:spacing w:before="295" w:line="217" w:lineRule="auto"/>
        <w:ind w:left="630"/>
      </w:pPr>
      <w:r>
        <w:rPr>
          <w:spacing w:val="-4"/>
        </w:rPr>
        <w:t>医疗机构不同病种超长住院率偏差的计算方法如下：</w:t>
      </w:r>
    </w:p>
    <w:p>
      <w:pPr>
        <w:spacing w:line="253" w:lineRule="auto"/>
        <w:rPr>
          <w:rFonts w:ascii="Arial"/>
          <w:sz w:val="21"/>
        </w:rPr>
      </w:pPr>
    </w:p>
    <w:p>
      <w:pPr>
        <w:pStyle w:val="7"/>
        <w:spacing w:before="23" w:line="124" w:lineRule="exact"/>
        <w:ind w:left="4254"/>
        <w:rPr>
          <w:sz w:val="7"/>
          <w:szCs w:val="7"/>
        </w:rPr>
      </w:pPr>
      <w:r>
        <w:rPr>
          <w:i/>
          <w:iCs/>
          <w:spacing w:val="75"/>
          <w:w w:val="161"/>
          <w:sz w:val="7"/>
          <w:szCs w:val="7"/>
        </w:rPr>
        <w:t>′</w:t>
      </w:r>
    </w:p>
    <w:p>
      <w:pPr>
        <w:spacing w:before="6" w:line="222" w:lineRule="auto"/>
        <w:ind w:left="3159"/>
        <w:rPr>
          <w:rFonts w:ascii="Cambria Math" w:hAnsi="Cambria Math" w:eastAsia="Cambria Math" w:cs="Cambria Math"/>
          <w:sz w:val="19"/>
          <w:szCs w:val="19"/>
        </w:rPr>
      </w:pPr>
      <w:r>
        <w:rPr>
          <w:rFonts w:ascii="Cambria Math" w:hAnsi="Cambria Math" w:eastAsia="Cambria Math" w:cs="Cambria Math"/>
          <w:position w:val="2"/>
          <w:sz w:val="28"/>
          <w:szCs w:val="28"/>
        </w:rPr>
        <w:t>D</w:t>
      </w:r>
      <w:r>
        <w:rPr>
          <w:rFonts w:ascii="Cambria Math" w:hAnsi="Cambria Math" w:eastAsia="Cambria Math" w:cs="Cambria Math"/>
          <w:position w:val="-3"/>
          <w:sz w:val="19"/>
          <w:szCs w:val="19"/>
        </w:rPr>
        <w:t>x</w:t>
      </w:r>
      <w:r>
        <w:rPr>
          <w:rFonts w:ascii="Cambria Math" w:hAnsi="Cambria Math" w:eastAsia="Cambria Math" w:cs="Cambria Math"/>
          <w:spacing w:val="16"/>
          <w:position w:val="-3"/>
          <w:sz w:val="19"/>
          <w:szCs w:val="19"/>
        </w:rPr>
        <w:t xml:space="preserve">  </w:t>
      </w:r>
      <w:r>
        <w:rPr>
          <w:rFonts w:ascii="Cambria Math" w:hAnsi="Cambria Math" w:eastAsia="Cambria Math" w:cs="Cambria Math"/>
          <w:spacing w:val="15"/>
          <w:position w:val="2"/>
          <w:sz w:val="28"/>
          <w:szCs w:val="28"/>
        </w:rPr>
        <w:t>=</w:t>
      </w:r>
      <w:r>
        <w:rPr>
          <w:rFonts w:ascii="Cambria Math" w:hAnsi="Cambria Math" w:eastAsia="Cambria Math" w:cs="Cambria Math"/>
          <w:spacing w:val="22"/>
          <w:position w:val="2"/>
          <w:sz w:val="28"/>
          <w:szCs w:val="28"/>
        </w:rPr>
        <w:t xml:space="preserve"> </w:t>
      </w:r>
      <w:r>
        <w:rPr>
          <w:rFonts w:ascii="Cambria Math" w:hAnsi="Cambria Math" w:eastAsia="Cambria Math" w:cs="Cambria Math"/>
          <w:position w:val="2"/>
          <w:sz w:val="28"/>
          <w:szCs w:val="28"/>
        </w:rPr>
        <w:t>ER</w:t>
      </w:r>
      <w:r>
        <w:rPr>
          <w:rFonts w:ascii="Cambria Math" w:hAnsi="Cambria Math" w:eastAsia="Cambria Math" w:cs="Cambria Math"/>
          <w:position w:val="-5"/>
          <w:sz w:val="19"/>
          <w:szCs w:val="19"/>
        </w:rPr>
        <w:t>x</w:t>
      </w:r>
      <w:r>
        <w:rPr>
          <w:rFonts w:ascii="Cambria Math" w:hAnsi="Cambria Math" w:eastAsia="Cambria Math" w:cs="Cambria Math"/>
          <w:spacing w:val="5"/>
          <w:position w:val="-5"/>
          <w:sz w:val="19"/>
          <w:szCs w:val="19"/>
        </w:rPr>
        <w:t xml:space="preserve">    </w:t>
      </w:r>
      <w:r>
        <w:rPr>
          <w:rFonts w:ascii="Cambria Math" w:hAnsi="Cambria Math" w:eastAsia="Cambria Math" w:cs="Cambria Math"/>
          <w:spacing w:val="15"/>
          <w:position w:val="2"/>
          <w:sz w:val="28"/>
          <w:szCs w:val="28"/>
        </w:rPr>
        <w:t xml:space="preserve">− </w:t>
      </w:r>
      <w:r>
        <w:rPr>
          <w:rFonts w:ascii="Cambria Math" w:hAnsi="Cambria Math" w:eastAsia="Cambria Math" w:cs="Cambria Math"/>
          <w:position w:val="2"/>
          <w:sz w:val="28"/>
          <w:szCs w:val="28"/>
        </w:rPr>
        <w:t>ER</w:t>
      </w:r>
      <w:r>
        <w:rPr>
          <w:rFonts w:ascii="Cambria Math" w:hAnsi="Cambria Math" w:eastAsia="Cambria Math" w:cs="Cambria Math"/>
          <w:position w:val="-3"/>
          <w:sz w:val="19"/>
          <w:szCs w:val="19"/>
        </w:rPr>
        <w:t>x</w:t>
      </w:r>
    </w:p>
    <w:p>
      <w:pPr>
        <w:pStyle w:val="7"/>
        <w:spacing w:before="141" w:line="209" w:lineRule="auto"/>
        <w:ind w:left="1841"/>
        <w:rPr>
          <w:sz w:val="7"/>
          <w:szCs w:val="7"/>
        </w:rPr>
      </w:pPr>
      <w:r>
        <w:rPr>
          <w:i/>
          <w:iCs/>
          <w:spacing w:val="75"/>
          <w:w w:val="161"/>
          <w:sz w:val="7"/>
          <w:szCs w:val="7"/>
        </w:rPr>
        <w:t>′</w:t>
      </w:r>
    </w:p>
    <w:p>
      <w:pPr>
        <w:pStyle w:val="7"/>
        <w:spacing w:line="307" w:lineRule="auto"/>
        <w:ind w:left="80" w:right="210" w:firstLine="528"/>
      </w:pPr>
      <w:r>
        <w:t>其中：</w:t>
      </w:r>
      <w:r>
        <w:rPr>
          <w:rFonts w:ascii="Cambria Math" w:hAnsi="Cambria Math" w:eastAsia="Cambria Math" w:cs="Cambria Math"/>
        </w:rPr>
        <w:t>ER</w:t>
      </w:r>
      <w:r>
        <w:rPr>
          <w:rFonts w:ascii="Cambria Math" w:hAnsi="Cambria Math" w:eastAsia="Cambria Math" w:cs="Cambria Math"/>
          <w:position w:val="-7"/>
          <w:sz w:val="19"/>
          <w:szCs w:val="19"/>
        </w:rPr>
        <w:t xml:space="preserve">x </w:t>
      </w:r>
      <w:r>
        <w:t>为指定医疗机构不同病种超长住院率，</w:t>
      </w:r>
      <w:r>
        <w:rPr>
          <w:rFonts w:ascii="Cambria Math" w:hAnsi="Cambria Math" w:eastAsia="Cambria Math" w:cs="Cambria Math"/>
        </w:rPr>
        <w:t>E</w:t>
      </w:r>
      <w:r>
        <w:rPr>
          <w:rFonts w:ascii="Cambria Math" w:hAnsi="Cambria Math" w:eastAsia="Cambria Math" w:cs="Cambria Math"/>
          <w:spacing w:val="-1"/>
        </w:rPr>
        <w:t>R</w:t>
      </w:r>
      <w:r>
        <w:rPr>
          <w:rFonts w:ascii="Cambria Math" w:hAnsi="Cambria Math" w:eastAsia="Cambria Math" w:cs="Cambria Math"/>
          <w:spacing w:val="-1"/>
          <w:position w:val="-5"/>
          <w:sz w:val="19"/>
          <w:szCs w:val="19"/>
        </w:rPr>
        <w:t xml:space="preserve">x </w:t>
      </w:r>
      <w:r>
        <w:rPr>
          <w:spacing w:val="-1"/>
        </w:rPr>
        <w:t>为区域不</w:t>
      </w:r>
      <w:r>
        <w:rPr>
          <w:spacing w:val="-7"/>
        </w:rPr>
        <w:t>同病种平均超长住院率。</w:t>
      </w:r>
    </w:p>
    <w:p>
      <w:pPr>
        <w:pStyle w:val="7"/>
        <w:spacing w:before="223" w:line="218" w:lineRule="auto"/>
        <w:ind w:left="606"/>
      </w:pPr>
      <w:r>
        <w:rPr>
          <w:spacing w:val="-4"/>
        </w:rPr>
        <w:t>（</w:t>
      </w:r>
      <w:r>
        <w:rPr>
          <w:rFonts w:ascii="Times New Roman" w:hAnsi="Times New Roman" w:eastAsia="Times New Roman" w:cs="Times New Roman"/>
          <w:spacing w:val="-4"/>
        </w:rPr>
        <w:t>4</w:t>
      </w:r>
      <w:r>
        <w:rPr>
          <w:spacing w:val="-4"/>
        </w:rPr>
        <w:t>）</w:t>
      </w:r>
      <w:r>
        <w:rPr>
          <w:spacing w:val="-36"/>
        </w:rPr>
        <w:t xml:space="preserve"> </w:t>
      </w:r>
      <w:r>
        <w:rPr>
          <w:spacing w:val="-4"/>
        </w:rPr>
        <w:t>超长住院评分计算</w:t>
      </w:r>
    </w:p>
    <w:p>
      <w:pPr>
        <w:pStyle w:val="7"/>
        <w:spacing w:before="295" w:line="397" w:lineRule="auto"/>
        <w:ind w:left="33" w:right="230" w:firstLine="597"/>
      </w:pPr>
      <w:r>
        <w:rPr>
          <w:spacing w:val="2"/>
        </w:rPr>
        <w:t>医疗机构超长住院评分（</w:t>
      </w:r>
      <w:r>
        <w:rPr>
          <w:rFonts w:ascii="Times New Roman" w:hAnsi="Times New Roman" w:eastAsia="Times New Roman" w:cs="Times New Roman"/>
        </w:rPr>
        <w:t>Rating</w:t>
      </w:r>
      <w:r>
        <w:rPr>
          <w:rFonts w:ascii="Times New Roman" w:hAnsi="Times New Roman" w:eastAsia="Times New Roman" w:cs="Times New Roman"/>
          <w:spacing w:val="43"/>
        </w:rPr>
        <w:t xml:space="preserve"> </w:t>
      </w:r>
      <w:r>
        <w:rPr>
          <w:rFonts w:ascii="Times New Roman" w:hAnsi="Times New Roman" w:eastAsia="Times New Roman" w:cs="Times New Roman"/>
        </w:rPr>
        <w:t>of</w:t>
      </w:r>
      <w:r>
        <w:rPr>
          <w:rFonts w:ascii="Times New Roman" w:hAnsi="Times New Roman" w:eastAsia="Times New Roman" w:cs="Times New Roman"/>
          <w:spacing w:val="2"/>
        </w:rPr>
        <w:t xml:space="preserve"> </w:t>
      </w:r>
      <w:r>
        <w:rPr>
          <w:rFonts w:ascii="Times New Roman" w:hAnsi="Times New Roman" w:eastAsia="Times New Roman" w:cs="Times New Roman"/>
        </w:rPr>
        <w:t>exceed</w:t>
      </w:r>
      <w:r>
        <w:rPr>
          <w:rFonts w:ascii="Times New Roman" w:hAnsi="Times New Roman" w:eastAsia="Times New Roman" w:cs="Times New Roman"/>
          <w:spacing w:val="44"/>
        </w:rPr>
        <w:t xml:space="preserve"> </w:t>
      </w:r>
      <w:r>
        <w:rPr>
          <w:rFonts w:ascii="Times New Roman" w:hAnsi="Times New Roman" w:eastAsia="Times New Roman" w:cs="Times New Roman"/>
        </w:rPr>
        <w:t>long</w:t>
      </w:r>
      <w:r>
        <w:rPr>
          <w:rFonts w:ascii="Times New Roman" w:hAnsi="Times New Roman" w:eastAsia="Times New Roman" w:cs="Times New Roman"/>
          <w:spacing w:val="35"/>
          <w:w w:val="101"/>
        </w:rPr>
        <w:t xml:space="preserve"> </w:t>
      </w:r>
      <w:r>
        <w:rPr>
          <w:rFonts w:ascii="Times New Roman" w:hAnsi="Times New Roman" w:eastAsia="Times New Roman" w:cs="Times New Roman"/>
        </w:rPr>
        <w:t>hospitalization</w:t>
      </w:r>
      <w:r>
        <w:rPr>
          <w:spacing w:val="2"/>
        </w:rPr>
        <w:t>，</w:t>
      </w:r>
      <w:r>
        <w:t xml:space="preserve"> </w:t>
      </w:r>
      <w:r>
        <w:rPr>
          <w:rFonts w:ascii="Times New Roman" w:hAnsi="Times New Roman" w:eastAsia="Times New Roman" w:cs="Times New Roman"/>
          <w:spacing w:val="-4"/>
        </w:rPr>
        <w:t>REH</w:t>
      </w:r>
      <w:r>
        <w:rPr>
          <w:spacing w:val="-4"/>
        </w:rPr>
        <w:t>）基于病种进行测算，其作为负向指标最终实现针对指定医疗机</w:t>
      </w:r>
      <w:r>
        <w:rPr>
          <w:spacing w:val="-2"/>
        </w:rPr>
        <w:t>构</w:t>
      </w:r>
      <w:r>
        <w:rPr>
          <w:spacing w:val="-60"/>
        </w:rPr>
        <w:t xml:space="preserve"> </w:t>
      </w:r>
      <w:r>
        <w:rPr>
          <w:rFonts w:ascii="Times New Roman" w:hAnsi="Times New Roman" w:eastAsia="Times New Roman" w:cs="Times New Roman"/>
          <w:spacing w:val="-2"/>
        </w:rPr>
        <w:t>DIP</w:t>
      </w:r>
      <w:r>
        <w:rPr>
          <w:spacing w:val="-2"/>
        </w:rPr>
        <w:t>层的调校，其计算方法如下：</w:t>
      </w:r>
    </w:p>
    <w:p>
      <w:pPr>
        <w:pStyle w:val="7"/>
        <w:spacing w:before="65" w:line="385" w:lineRule="exact"/>
        <w:ind w:left="636"/>
      </w:pPr>
      <w:r>
        <w:rPr>
          <w:spacing w:val="-20"/>
          <w:position w:val="3"/>
        </w:rPr>
        <w:t>当</w:t>
      </w:r>
      <w:r>
        <w:rPr>
          <w:rFonts w:ascii="Cambria Math" w:hAnsi="Cambria Math" w:eastAsia="Cambria Math" w:cs="Cambria Math"/>
          <w:spacing w:val="-20"/>
          <w:position w:val="3"/>
        </w:rPr>
        <w:t>D</w:t>
      </w:r>
      <w:r>
        <w:rPr>
          <w:rFonts w:ascii="Cambria Math" w:hAnsi="Cambria Math" w:eastAsia="Cambria Math" w:cs="Cambria Math"/>
          <w:spacing w:val="-5"/>
          <w:position w:val="-2"/>
          <w:sz w:val="19"/>
          <w:szCs w:val="19"/>
        </w:rPr>
        <w:t>x</w:t>
      </w:r>
      <w:r>
        <w:rPr>
          <w:rFonts w:ascii="Cambria Math" w:hAnsi="Cambria Math" w:eastAsia="Cambria Math" w:cs="Cambria Math"/>
          <w:spacing w:val="21"/>
          <w:w w:val="101"/>
          <w:position w:val="-2"/>
          <w:sz w:val="19"/>
          <w:szCs w:val="19"/>
        </w:rPr>
        <w:t xml:space="preserve">  </w:t>
      </w:r>
      <w:r>
        <w:rPr>
          <w:rFonts w:ascii="Cambria Math" w:hAnsi="Cambria Math" w:eastAsia="Cambria Math" w:cs="Cambria Math"/>
          <w:spacing w:val="-5"/>
          <w:position w:val="3"/>
        </w:rPr>
        <w:t>≤</w:t>
      </w:r>
      <w:r>
        <w:rPr>
          <w:rFonts w:ascii="Cambria Math" w:hAnsi="Cambria Math" w:eastAsia="Cambria Math" w:cs="Cambria Math"/>
          <w:spacing w:val="32"/>
          <w:position w:val="3"/>
        </w:rPr>
        <w:t xml:space="preserve"> </w:t>
      </w:r>
      <w:r>
        <w:rPr>
          <w:rFonts w:ascii="Cambria Math" w:hAnsi="Cambria Math" w:eastAsia="Cambria Math" w:cs="Cambria Math"/>
          <w:spacing w:val="-5"/>
          <w:position w:val="3"/>
        </w:rPr>
        <w:t>0</w:t>
      </w:r>
      <w:r>
        <w:rPr>
          <w:spacing w:val="-5"/>
          <w:position w:val="3"/>
        </w:rPr>
        <w:t>时，令</w:t>
      </w:r>
      <w:r>
        <w:rPr>
          <w:spacing w:val="-65"/>
          <w:position w:val="3"/>
        </w:rPr>
        <w:t xml:space="preserve"> </w:t>
      </w:r>
      <w:r>
        <w:rPr>
          <w:rFonts w:ascii="Times New Roman" w:hAnsi="Times New Roman" w:eastAsia="Times New Roman" w:cs="Times New Roman"/>
          <w:spacing w:val="-5"/>
          <w:position w:val="3"/>
        </w:rPr>
        <w:t>REH</w:t>
      </w:r>
      <w:r>
        <w:rPr>
          <w:rFonts w:ascii="Cambria Math" w:hAnsi="Cambria Math" w:eastAsia="Cambria Math" w:cs="Cambria Math"/>
          <w:spacing w:val="-5"/>
          <w:position w:val="3"/>
        </w:rPr>
        <w:t>=</w:t>
      </w:r>
      <w:r>
        <w:rPr>
          <w:rFonts w:ascii="Cambria Math" w:hAnsi="Cambria Math" w:eastAsia="Cambria Math" w:cs="Cambria Math"/>
          <w:spacing w:val="31"/>
          <w:w w:val="101"/>
          <w:position w:val="3"/>
        </w:rPr>
        <w:t xml:space="preserve"> </w:t>
      </w:r>
      <w:r>
        <w:rPr>
          <w:rFonts w:ascii="Cambria Math" w:hAnsi="Cambria Math" w:eastAsia="Cambria Math" w:cs="Cambria Math"/>
          <w:spacing w:val="-5"/>
          <w:position w:val="3"/>
        </w:rPr>
        <w:t>0</w:t>
      </w:r>
      <w:r>
        <w:rPr>
          <w:spacing w:val="-5"/>
          <w:position w:val="3"/>
        </w:rPr>
        <w:t>；</w:t>
      </w:r>
    </w:p>
    <w:p>
      <w:pPr>
        <w:pStyle w:val="7"/>
        <w:spacing w:before="240" w:line="359" w:lineRule="auto"/>
        <w:ind w:left="56" w:right="211" w:firstLine="579"/>
      </w:pPr>
      <w:r>
        <w:rPr>
          <w:spacing w:val="-20"/>
        </w:rPr>
        <w:t>当</w:t>
      </w:r>
      <w:r>
        <w:rPr>
          <w:rFonts w:ascii="Cambria Math" w:hAnsi="Cambria Math" w:eastAsia="Cambria Math" w:cs="Cambria Math"/>
          <w:spacing w:val="-20"/>
        </w:rPr>
        <w:t>D</w:t>
      </w:r>
      <w:r>
        <w:rPr>
          <w:rFonts w:ascii="Cambria Math" w:hAnsi="Cambria Math" w:eastAsia="Cambria Math" w:cs="Cambria Math"/>
          <w:spacing w:val="-6"/>
          <w:position w:val="-5"/>
          <w:sz w:val="19"/>
          <w:szCs w:val="19"/>
        </w:rPr>
        <w:t>x</w:t>
      </w:r>
      <w:r>
        <w:rPr>
          <w:rFonts w:ascii="Cambria Math" w:hAnsi="Cambria Math" w:eastAsia="Cambria Math" w:cs="Cambria Math"/>
          <w:spacing w:val="22"/>
          <w:w w:val="101"/>
          <w:position w:val="-5"/>
          <w:sz w:val="19"/>
          <w:szCs w:val="19"/>
        </w:rPr>
        <w:t xml:space="preserve">  </w:t>
      </w:r>
      <w:r>
        <w:rPr>
          <w:rFonts w:ascii="Cambria Math" w:hAnsi="Cambria Math" w:eastAsia="Cambria Math" w:cs="Cambria Math"/>
          <w:spacing w:val="-6"/>
        </w:rPr>
        <w:t>&gt;</w:t>
      </w:r>
      <w:r>
        <w:rPr>
          <w:rFonts w:ascii="Cambria Math" w:hAnsi="Cambria Math" w:eastAsia="Cambria Math" w:cs="Cambria Math"/>
          <w:spacing w:val="31"/>
          <w:w w:val="101"/>
        </w:rPr>
        <w:t xml:space="preserve"> </w:t>
      </w:r>
      <w:r>
        <w:rPr>
          <w:rFonts w:ascii="Cambria Math" w:hAnsi="Cambria Math" w:eastAsia="Cambria Math" w:cs="Cambria Math"/>
          <w:spacing w:val="-6"/>
        </w:rPr>
        <w:t>0</w:t>
      </w:r>
      <w:r>
        <w:rPr>
          <w:spacing w:val="-6"/>
        </w:rPr>
        <w:t>时，令</w:t>
      </w:r>
      <w:r>
        <w:rPr>
          <w:spacing w:val="-66"/>
        </w:rPr>
        <w:t xml:space="preserve"> </w:t>
      </w:r>
      <w:r>
        <w:rPr>
          <w:rFonts w:ascii="Times New Roman" w:hAnsi="Times New Roman" w:eastAsia="Times New Roman" w:cs="Times New Roman"/>
          <w:spacing w:val="-6"/>
        </w:rPr>
        <w:t>REH</w:t>
      </w:r>
      <w:r>
        <w:rPr>
          <w:rFonts w:ascii="Cambria Math" w:hAnsi="Cambria Math" w:eastAsia="Cambria Math" w:cs="Cambria Math"/>
          <w:spacing w:val="-6"/>
        </w:rPr>
        <w:t>=</w:t>
      </w:r>
      <w:r>
        <w:rPr>
          <w:rFonts w:ascii="Cambria Math" w:hAnsi="Cambria Math" w:eastAsia="Cambria Math" w:cs="Cambria Math"/>
          <w:spacing w:val="22"/>
          <w:w w:val="101"/>
        </w:rPr>
        <w:t xml:space="preserve"> </w:t>
      </w:r>
      <w:r>
        <w:rPr>
          <w:rFonts w:ascii="Cambria Math" w:hAnsi="Cambria Math" w:eastAsia="Cambria Math" w:cs="Cambria Math"/>
          <w:spacing w:val="-6"/>
        </w:rPr>
        <w:t>R</w:t>
      </w:r>
      <w:r>
        <w:rPr>
          <w:rFonts w:ascii="Cambria Math" w:hAnsi="Cambria Math" w:eastAsia="Cambria Math" w:cs="Cambria Math"/>
          <w:spacing w:val="27"/>
          <w:w w:val="101"/>
        </w:rPr>
        <w:t xml:space="preserve"> </w:t>
      </w:r>
      <w:r>
        <w:rPr>
          <w:rFonts w:ascii="Cambria Math" w:hAnsi="Cambria Math" w:eastAsia="Cambria Math" w:cs="Cambria Math"/>
          <w:spacing w:val="-6"/>
        </w:rPr>
        <w:t>∗ D</w:t>
      </w:r>
      <w:r>
        <w:rPr>
          <w:rFonts w:ascii="Cambria Math" w:hAnsi="Cambria Math" w:eastAsia="Cambria Math" w:cs="Cambria Math"/>
          <w:spacing w:val="-6"/>
          <w:position w:val="-5"/>
          <w:sz w:val="19"/>
          <w:szCs w:val="19"/>
        </w:rPr>
        <w:t>x</w:t>
      </w:r>
      <w:r>
        <w:rPr>
          <w:spacing w:val="-6"/>
        </w:rPr>
        <w:t>，其中</w:t>
      </w:r>
      <w:r>
        <w:rPr>
          <w:spacing w:val="-65"/>
        </w:rPr>
        <w:t xml:space="preserve"> </w:t>
      </w:r>
      <w:r>
        <w:rPr>
          <w:rFonts w:ascii="Times New Roman" w:hAnsi="Times New Roman" w:eastAsia="Times New Roman" w:cs="Times New Roman"/>
          <w:spacing w:val="-6"/>
        </w:rPr>
        <w:t>R</w:t>
      </w:r>
      <w:r>
        <w:rPr>
          <w:spacing w:val="-6"/>
        </w:rPr>
        <w:t>为病种对应概率分级的权</w:t>
      </w:r>
      <w:r>
        <w:rPr>
          <w:spacing w:val="-10"/>
        </w:rPr>
        <w:t>重，具体如下：</w:t>
      </w:r>
    </w:p>
    <w:p>
      <w:pPr>
        <w:spacing w:line="359" w:lineRule="auto"/>
      </w:pPr>
    </w:p>
    <w:tbl>
      <w:tblPr>
        <w:tblStyle w:val="31"/>
        <w:tblW w:w="5415" w:type="dxa"/>
        <w:tblInd w:w="14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3407"/>
        <w:gridCol w:w="10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12" w:type="dxa"/>
            <w:vAlign w:val="top"/>
          </w:tcPr>
          <w:p>
            <w:pPr>
              <w:spacing w:before="129" w:line="219" w:lineRule="auto"/>
              <w:ind w:left="247"/>
              <w:rPr>
                <w:rFonts w:ascii="仿宋" w:hAnsi="仿宋" w:eastAsia="仿宋" w:cs="仿宋"/>
                <w:sz w:val="22"/>
                <w:szCs w:val="22"/>
              </w:rPr>
            </w:pPr>
            <w:r>
              <w:rPr>
                <w:rFonts w:ascii="仿宋" w:hAnsi="仿宋" w:eastAsia="仿宋" w:cs="仿宋"/>
                <w:spacing w:val="-4"/>
                <w:sz w:val="22"/>
                <w:szCs w:val="22"/>
              </w:rPr>
              <w:t>序号</w:t>
            </w:r>
          </w:p>
        </w:tc>
        <w:tc>
          <w:tcPr>
            <w:tcW w:w="3407" w:type="dxa"/>
            <w:vAlign w:val="top"/>
          </w:tcPr>
          <w:p>
            <w:pPr>
              <w:spacing w:before="129" w:line="219" w:lineRule="auto"/>
              <w:ind w:left="1274"/>
              <w:rPr>
                <w:rFonts w:ascii="仿宋" w:hAnsi="仿宋" w:eastAsia="仿宋" w:cs="仿宋"/>
                <w:sz w:val="22"/>
                <w:szCs w:val="22"/>
              </w:rPr>
            </w:pPr>
            <w:r>
              <w:rPr>
                <w:rFonts w:ascii="仿宋" w:hAnsi="仿宋" w:eastAsia="仿宋" w:cs="仿宋"/>
                <w:spacing w:val="-3"/>
                <w:sz w:val="22"/>
                <w:szCs w:val="22"/>
              </w:rPr>
              <w:t>概率分级</w:t>
            </w:r>
          </w:p>
        </w:tc>
        <w:tc>
          <w:tcPr>
            <w:tcW w:w="1096" w:type="dxa"/>
            <w:vAlign w:val="top"/>
          </w:tcPr>
          <w:p>
            <w:pPr>
              <w:spacing w:before="129" w:line="219" w:lineRule="auto"/>
              <w:ind w:left="339"/>
              <w:rPr>
                <w:rFonts w:ascii="仿宋" w:hAnsi="仿宋" w:eastAsia="仿宋" w:cs="仿宋"/>
                <w:sz w:val="22"/>
                <w:szCs w:val="22"/>
              </w:rPr>
            </w:pPr>
            <w:r>
              <w:rPr>
                <w:rFonts w:ascii="仿宋" w:hAnsi="仿宋" w:eastAsia="仿宋" w:cs="仿宋"/>
                <w:spacing w:val="-4"/>
                <w:sz w:val="22"/>
                <w:szCs w:val="22"/>
              </w:rPr>
              <w:t>权重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12" w:type="dxa"/>
            <w:vAlign w:val="top"/>
          </w:tcPr>
          <w:p>
            <w:pPr>
              <w:spacing w:before="165" w:line="187" w:lineRule="auto"/>
              <w:ind w:left="42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407" w:type="dxa"/>
            <w:vAlign w:val="top"/>
          </w:tcPr>
          <w:p>
            <w:pPr>
              <w:spacing w:before="125" w:line="218" w:lineRule="auto"/>
              <w:ind w:left="724"/>
              <w:rPr>
                <w:rFonts w:ascii="仿宋" w:hAnsi="仿宋" w:eastAsia="仿宋" w:cs="仿宋"/>
                <w:sz w:val="22"/>
                <w:szCs w:val="22"/>
              </w:rPr>
            </w:pPr>
            <w:r>
              <w:rPr>
                <w:rFonts w:ascii="仿宋" w:hAnsi="仿宋" w:eastAsia="仿宋" w:cs="仿宋"/>
                <w:spacing w:val="-2"/>
                <w:sz w:val="22"/>
                <w:szCs w:val="22"/>
              </w:rPr>
              <w:t>极低概率超长住院组</w:t>
            </w:r>
          </w:p>
        </w:tc>
        <w:tc>
          <w:tcPr>
            <w:tcW w:w="1096" w:type="dxa"/>
            <w:vAlign w:val="top"/>
          </w:tcPr>
          <w:p>
            <w:pPr>
              <w:spacing w:before="165"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912" w:type="dxa"/>
            <w:vAlign w:val="top"/>
          </w:tcPr>
          <w:p>
            <w:pPr>
              <w:spacing w:before="166" w:line="187"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407" w:type="dxa"/>
            <w:vAlign w:val="top"/>
          </w:tcPr>
          <w:p>
            <w:pPr>
              <w:spacing w:before="126" w:line="218" w:lineRule="auto"/>
              <w:ind w:left="835"/>
              <w:rPr>
                <w:rFonts w:ascii="仿宋" w:hAnsi="仿宋" w:eastAsia="仿宋" w:cs="仿宋"/>
                <w:sz w:val="22"/>
                <w:szCs w:val="22"/>
              </w:rPr>
            </w:pPr>
            <w:r>
              <w:rPr>
                <w:rFonts w:ascii="仿宋" w:hAnsi="仿宋" w:eastAsia="仿宋" w:cs="仿宋"/>
                <w:spacing w:val="-2"/>
                <w:sz w:val="22"/>
                <w:szCs w:val="22"/>
              </w:rPr>
              <w:t>低概率超长住院组</w:t>
            </w:r>
          </w:p>
        </w:tc>
        <w:tc>
          <w:tcPr>
            <w:tcW w:w="1096" w:type="dxa"/>
            <w:vAlign w:val="top"/>
          </w:tcPr>
          <w:p>
            <w:pPr>
              <w:spacing w:before="166"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12" w:type="dxa"/>
            <w:vAlign w:val="top"/>
          </w:tcPr>
          <w:p>
            <w:pPr>
              <w:spacing w:before="167" w:line="187" w:lineRule="auto"/>
              <w:ind w:left="407"/>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407" w:type="dxa"/>
            <w:vAlign w:val="top"/>
          </w:tcPr>
          <w:p>
            <w:pPr>
              <w:spacing w:before="127" w:line="218" w:lineRule="auto"/>
              <w:ind w:left="753"/>
              <w:rPr>
                <w:rFonts w:ascii="仿宋" w:hAnsi="仿宋" w:eastAsia="仿宋" w:cs="仿宋"/>
                <w:sz w:val="22"/>
                <w:szCs w:val="22"/>
              </w:rPr>
            </w:pPr>
            <w:r>
              <w:rPr>
                <w:rFonts w:ascii="仿宋" w:hAnsi="仿宋" w:eastAsia="仿宋" w:cs="仿宋"/>
                <w:spacing w:val="-5"/>
                <w:sz w:val="22"/>
                <w:szCs w:val="22"/>
              </w:rPr>
              <w:t>中低概率超长住院组</w:t>
            </w:r>
          </w:p>
        </w:tc>
        <w:tc>
          <w:tcPr>
            <w:tcW w:w="1096" w:type="dxa"/>
            <w:vAlign w:val="top"/>
          </w:tcPr>
          <w:p>
            <w:pPr>
              <w:spacing w:before="167"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912" w:type="dxa"/>
            <w:vAlign w:val="top"/>
          </w:tcPr>
          <w:p>
            <w:pPr>
              <w:spacing w:before="168" w:line="187"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407" w:type="dxa"/>
            <w:vAlign w:val="top"/>
          </w:tcPr>
          <w:p>
            <w:pPr>
              <w:spacing w:before="127" w:line="218" w:lineRule="auto"/>
              <w:ind w:left="753"/>
              <w:rPr>
                <w:rFonts w:ascii="仿宋" w:hAnsi="仿宋" w:eastAsia="仿宋" w:cs="仿宋"/>
                <w:sz w:val="22"/>
                <w:szCs w:val="22"/>
              </w:rPr>
            </w:pPr>
            <w:r>
              <w:rPr>
                <w:rFonts w:ascii="仿宋" w:hAnsi="仿宋" w:eastAsia="仿宋" w:cs="仿宋"/>
                <w:spacing w:val="-5"/>
                <w:sz w:val="22"/>
                <w:szCs w:val="22"/>
              </w:rPr>
              <w:t>中高概率超长住院组</w:t>
            </w:r>
          </w:p>
        </w:tc>
        <w:tc>
          <w:tcPr>
            <w:tcW w:w="1096" w:type="dxa"/>
            <w:vAlign w:val="top"/>
          </w:tcPr>
          <w:p>
            <w:pPr>
              <w:spacing w:before="167"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12" w:type="dxa"/>
            <w:vAlign w:val="top"/>
          </w:tcPr>
          <w:p>
            <w:pPr>
              <w:spacing w:before="172" w:line="184" w:lineRule="auto"/>
              <w:ind w:left="408"/>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407" w:type="dxa"/>
            <w:vAlign w:val="top"/>
          </w:tcPr>
          <w:p>
            <w:pPr>
              <w:spacing w:before="128" w:line="218" w:lineRule="auto"/>
              <w:ind w:left="842"/>
              <w:rPr>
                <w:rFonts w:ascii="仿宋" w:hAnsi="仿宋" w:eastAsia="仿宋" w:cs="仿宋"/>
                <w:sz w:val="22"/>
                <w:szCs w:val="22"/>
              </w:rPr>
            </w:pPr>
            <w:r>
              <w:rPr>
                <w:rFonts w:ascii="仿宋" w:hAnsi="仿宋" w:eastAsia="仿宋" w:cs="仿宋"/>
                <w:spacing w:val="-3"/>
                <w:sz w:val="22"/>
                <w:szCs w:val="22"/>
              </w:rPr>
              <w:t>高概率超长住院组</w:t>
            </w:r>
          </w:p>
        </w:tc>
        <w:tc>
          <w:tcPr>
            <w:tcW w:w="1096" w:type="dxa"/>
            <w:vAlign w:val="top"/>
          </w:tcPr>
          <w:p>
            <w:pPr>
              <w:spacing w:before="168"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0.15</w:t>
            </w:r>
          </w:p>
        </w:tc>
      </w:tr>
    </w:tbl>
    <w:p>
      <w:pPr>
        <w:spacing w:before="100" w:line="221" w:lineRule="auto"/>
        <w:ind w:left="39"/>
        <w:outlineLvl w:val="1"/>
        <w:rPr>
          <w:rFonts w:ascii="楷体" w:hAnsi="楷体" w:eastAsia="楷体" w:cs="楷体"/>
          <w:b w:val="0"/>
          <w:bCs w:val="0"/>
          <w:sz w:val="31"/>
          <w:szCs w:val="31"/>
        </w:rPr>
      </w:pPr>
      <w:bookmarkStart w:id="134" w:name="_Toc21368"/>
      <w:r>
        <w:rPr>
          <w:rFonts w:ascii="Times New Roman" w:hAnsi="Times New Roman" w:eastAsia="Times New Roman" w:cs="Times New Roman"/>
          <w:b w:val="0"/>
          <w:bCs w:val="0"/>
          <w:spacing w:val="6"/>
          <w:sz w:val="31"/>
          <w:szCs w:val="31"/>
        </w:rPr>
        <w:t xml:space="preserve">5 </w:t>
      </w:r>
      <w:r>
        <w:rPr>
          <w:rFonts w:ascii="楷体" w:hAnsi="楷体" w:eastAsia="楷体" w:cs="楷体"/>
          <w:b w:val="0"/>
          <w:bCs w:val="0"/>
          <w:spacing w:val="6"/>
          <w:sz w:val="31"/>
          <w:szCs w:val="31"/>
        </w:rPr>
        <w:t>死亡风险评分辅助目录</w:t>
      </w:r>
      <w:bookmarkEnd w:id="134"/>
    </w:p>
    <w:p>
      <w:pPr>
        <w:spacing w:line="439" w:lineRule="auto"/>
        <w:rPr>
          <w:rFonts w:ascii="Arial"/>
          <w:sz w:val="21"/>
        </w:rPr>
      </w:pPr>
    </w:p>
    <w:p>
      <w:pPr>
        <w:pStyle w:val="7"/>
        <w:spacing w:before="91" w:line="400" w:lineRule="auto"/>
        <w:ind w:left="55" w:right="29" w:firstLine="551"/>
        <w:jc w:val="both"/>
      </w:pPr>
      <w:r>
        <w:rPr>
          <w:spacing w:val="-4"/>
        </w:rPr>
        <w:t>基于病种组合死亡率与均值的偏离程度，评估每个病种的死亡风险，通过其在不同风险分级总体病例中的占比，衡量病种组合中不该</w:t>
      </w:r>
      <w:r>
        <w:rPr>
          <w:spacing w:val="-1"/>
        </w:rPr>
        <w:t>发生死亡病例的死亡率，借以判别医疗质量与救</w:t>
      </w:r>
      <w:r>
        <w:rPr>
          <w:spacing w:val="-2"/>
        </w:rPr>
        <w:t>治能力。</w:t>
      </w:r>
    </w:p>
    <w:p>
      <w:pPr>
        <w:pStyle w:val="7"/>
        <w:numPr>
          <w:ilvl w:val="0"/>
          <w:numId w:val="52"/>
        </w:numPr>
        <w:spacing w:before="52" w:line="218" w:lineRule="auto"/>
        <w:ind w:left="606"/>
        <w:rPr>
          <w:spacing w:val="-5"/>
        </w:rPr>
      </w:pPr>
      <w:r>
        <w:rPr>
          <w:spacing w:val="-5"/>
        </w:rPr>
        <w:t>基础值计算</w:t>
      </w:r>
    </w:p>
    <w:p>
      <w:pPr>
        <w:pStyle w:val="7"/>
        <w:spacing w:before="293" w:line="379" w:lineRule="auto"/>
        <w:ind w:left="50" w:right="71" w:firstLine="557"/>
      </w:pPr>
      <w:r>
        <w:rPr>
          <w:spacing w:val="-3"/>
        </w:rPr>
        <w:t>假设一定时期内区域层面某病种某类机构实际病例数为</w:t>
      </w:r>
      <w:r>
        <w:rPr>
          <w:spacing w:val="-67"/>
        </w:rPr>
        <w:t xml:space="preserve"> </w:t>
      </w:r>
      <w:r>
        <w:rPr>
          <w:rFonts w:ascii="Times New Roman" w:hAnsi="Times New Roman" w:eastAsia="Times New Roman" w:cs="Times New Roman"/>
          <w:spacing w:val="-3"/>
        </w:rPr>
        <w:t>n</w:t>
      </w:r>
      <w:r>
        <w:rPr>
          <w:spacing w:val="-3"/>
        </w:rPr>
        <w:t>，其中死亡病例数为</w:t>
      </w:r>
      <w:r>
        <w:rPr>
          <w:spacing w:val="-67"/>
        </w:rPr>
        <w:t xml:space="preserve"> </w:t>
      </w:r>
      <w:r>
        <w:rPr>
          <w:rFonts w:ascii="Times New Roman" w:hAnsi="Times New Roman" w:eastAsia="Times New Roman" w:cs="Times New Roman"/>
          <w:spacing w:val="-3"/>
        </w:rPr>
        <w:t>m</w:t>
      </w:r>
      <w:r>
        <w:rPr>
          <w:spacing w:val="-3"/>
        </w:rPr>
        <w:t>。</w:t>
      </w:r>
    </w:p>
    <w:p>
      <w:pPr>
        <w:pStyle w:val="7"/>
        <w:ind w:left="609"/>
      </w:pPr>
      <w:r>
        <w:rPr>
          <w:spacing w:val="-1"/>
        </w:rPr>
        <w:t>死亡率（</w:t>
      </w:r>
      <w:r>
        <w:rPr>
          <w:rFonts w:ascii="Times New Roman" w:hAnsi="Times New Roman" w:eastAsia="Times New Roman" w:cs="Times New Roman"/>
          <w:spacing w:val="-1"/>
        </w:rPr>
        <w:t>Mortality Rate</w:t>
      </w:r>
      <w:r>
        <w:rPr>
          <w:spacing w:val="6"/>
        </w:rPr>
        <w:t>）：</w:t>
      </w:r>
      <w:r>
        <w:rPr>
          <w:rFonts w:ascii="Times New Roman" w:hAnsi="Times New Roman" w:eastAsia="Times New Roman" w:cs="Times New Roman"/>
          <w:spacing w:val="-1"/>
        </w:rPr>
        <w:t>M</w:t>
      </w:r>
      <w:r>
        <w:rPr>
          <w:rFonts w:ascii="Cambria Math" w:hAnsi="Cambria Math" w:eastAsia="Cambria Math" w:cs="Cambria Math"/>
          <w:spacing w:val="-1"/>
        </w:rPr>
        <w:t xml:space="preserve">= </w:t>
      </w:r>
      <w:r>
        <w:rPr>
          <w:position w:val="-18"/>
        </w:rPr>
        <w:drawing>
          <wp:inline distT="0" distB="0" distL="0" distR="0">
            <wp:extent cx="120650" cy="321310"/>
            <wp:effectExtent l="0" t="0" r="3175" b="254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6"/>
                    <a:stretch>
                      <a:fillRect/>
                    </a:stretch>
                  </pic:blipFill>
                  <pic:spPr>
                    <a:xfrm>
                      <a:off x="0" y="0"/>
                      <a:ext cx="120700" cy="321564"/>
                    </a:xfrm>
                    <a:prstGeom prst="rect">
                      <a:avLst/>
                    </a:prstGeom>
                  </pic:spPr>
                </pic:pic>
              </a:graphicData>
            </a:graphic>
          </wp:inline>
        </w:drawing>
      </w:r>
    </w:p>
    <w:p>
      <w:pPr>
        <w:pStyle w:val="7"/>
        <w:spacing w:before="217" w:line="219" w:lineRule="auto"/>
        <w:ind w:firstLine="544" w:firstLineChars="200"/>
      </w:pPr>
      <w:r>
        <w:rPr>
          <w:spacing w:val="-4"/>
        </w:rPr>
        <w:t>（</w:t>
      </w:r>
      <w:r>
        <w:rPr>
          <w:rFonts w:ascii="Times New Roman" w:hAnsi="Times New Roman" w:eastAsia="Times New Roman" w:cs="Times New Roman"/>
          <w:spacing w:val="-4"/>
        </w:rPr>
        <w:t>2</w:t>
      </w:r>
      <w:r>
        <w:rPr>
          <w:spacing w:val="-4"/>
        </w:rPr>
        <w:t>）</w:t>
      </w:r>
      <w:r>
        <w:rPr>
          <w:spacing w:val="-40"/>
        </w:rPr>
        <w:t xml:space="preserve"> </w:t>
      </w:r>
      <w:r>
        <w:rPr>
          <w:spacing w:val="-4"/>
        </w:rPr>
        <w:t>死亡率风险分级</w:t>
      </w:r>
    </w:p>
    <w:p>
      <w:pPr>
        <w:pStyle w:val="7"/>
        <w:spacing w:before="294" w:line="220" w:lineRule="auto"/>
        <w:ind w:left="49"/>
        <w:rPr>
          <w:spacing w:val="-19"/>
        </w:rPr>
      </w:pPr>
      <w:r>
        <w:drawing>
          <wp:inline distT="0" distB="0" distL="114300" distR="114300">
            <wp:extent cx="6066155" cy="812800"/>
            <wp:effectExtent l="0" t="0" r="4445"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7"/>
                    <a:stretch>
                      <a:fillRect/>
                    </a:stretch>
                  </pic:blipFill>
                  <pic:spPr>
                    <a:xfrm>
                      <a:off x="0" y="0"/>
                      <a:ext cx="6066155" cy="812800"/>
                    </a:xfrm>
                    <a:prstGeom prst="rect">
                      <a:avLst/>
                    </a:prstGeom>
                    <a:noFill/>
                    <a:ln>
                      <a:noFill/>
                    </a:ln>
                  </pic:spPr>
                </pic:pic>
              </a:graphicData>
            </a:graphic>
          </wp:inline>
        </w:drawing>
      </w:r>
    </w:p>
    <w:p>
      <w:pPr>
        <w:pStyle w:val="7"/>
        <w:spacing w:before="294" w:line="220" w:lineRule="auto"/>
        <w:ind w:left="49"/>
      </w:pPr>
      <w:r>
        <w:rPr>
          <w:spacing w:val="-19"/>
        </w:rPr>
        <w:t>风险：</w:t>
      </w:r>
    </w:p>
    <w:p>
      <w:pPr>
        <w:spacing w:line="119" w:lineRule="exact"/>
      </w:pPr>
      <w:r>
        <w:rPr>
          <w:sz w:val="21"/>
        </w:rPr>
        <w:pict>
          <v:shape id="文本框 11" o:spid="_x0000_s1086" o:spt="202" type="#_x0000_t202" style="position:absolute;left:0pt;margin-left:-4.65pt;margin-top:2.5pt;height:164.5pt;width:426.1pt;z-index:251679744;mso-width-relative:page;mso-height-relative:page;" fillcolor="#FFFFFF" filled="t" stroked="f" coordsize="21600,21600" o:gfxdata="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kRZ1NUA&#10;AAAIAQAADwAAAAAAAAABACAAAAAiAAAAZHJzL2Rvd25yZXYueG1sUEsBAhQAFAAAAAgAh07iQLjh&#10;FKNbAgAAngQAAA4AAAAAAAAAAQAgAAAAJAEAAGRycy9lMm9Eb2MueG1sUEsFBgAAAAAGAAYAWQEA&#10;APEFAAAAAA==&#10;">
            <v:path/>
            <v:fill on="t" focussize="0,0"/>
            <v:stroke on="f" weight="0.5pt"/>
            <v:imagedata o:title=""/>
            <o:lock v:ext="edit" aspectratio="f"/>
            <v:textbox>
              <w:txbxContent>
                <w:p>
                  <w:r>
                    <w:drawing>
                      <wp:inline distT="0" distB="0" distL="114300" distR="114300">
                        <wp:extent cx="5220970" cy="2012950"/>
                        <wp:effectExtent l="0" t="0" r="11430"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8"/>
                                <a:stretch>
                                  <a:fillRect/>
                                </a:stretch>
                              </pic:blipFill>
                              <pic:spPr>
                                <a:xfrm>
                                  <a:off x="0" y="0"/>
                                  <a:ext cx="5220970" cy="2012950"/>
                                </a:xfrm>
                                <a:prstGeom prst="rect">
                                  <a:avLst/>
                                </a:prstGeom>
                                <a:noFill/>
                                <a:ln>
                                  <a:noFill/>
                                </a:ln>
                              </pic:spPr>
                            </pic:pic>
                          </a:graphicData>
                        </a:graphic>
                      </wp:inline>
                    </w:drawing>
                  </w:r>
                </w:p>
              </w:txbxContent>
            </v:textbox>
          </v:shape>
        </w:pict>
      </w:r>
    </w:p>
    <w:tbl>
      <w:tblPr>
        <w:tblStyle w:val="31"/>
        <w:tblW w:w="83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3258"/>
        <w:gridCol w:w="38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4" w:hRule="atLeast"/>
        </w:trPr>
        <w:tc>
          <w:tcPr>
            <w:tcW w:w="1276" w:type="dxa"/>
            <w:vAlign w:val="top"/>
          </w:tcPr>
          <w:p>
            <w:pPr>
              <w:spacing w:before="141" w:line="219" w:lineRule="auto"/>
              <w:ind w:left="211"/>
              <w:rPr>
                <w:rFonts w:ascii="仿宋" w:hAnsi="仿宋" w:eastAsia="仿宋" w:cs="仿宋"/>
                <w:sz w:val="22"/>
                <w:szCs w:val="22"/>
              </w:rPr>
            </w:pPr>
            <w:r>
              <w:rPr>
                <w:rFonts w:ascii="仿宋" w:hAnsi="仿宋" w:eastAsia="仿宋" w:cs="仿宋"/>
                <w:spacing w:val="-3"/>
                <w:sz w:val="22"/>
                <w:szCs w:val="22"/>
              </w:rPr>
              <w:t>分级序号</w:t>
            </w:r>
          </w:p>
        </w:tc>
        <w:tc>
          <w:tcPr>
            <w:tcW w:w="3258" w:type="dxa"/>
            <w:vAlign w:val="top"/>
          </w:tcPr>
          <w:p>
            <w:pPr>
              <w:spacing w:before="141" w:line="222" w:lineRule="auto"/>
              <w:ind w:left="1424"/>
              <w:rPr>
                <w:rFonts w:ascii="仿宋" w:hAnsi="仿宋" w:eastAsia="仿宋" w:cs="仿宋"/>
                <w:sz w:val="22"/>
                <w:szCs w:val="22"/>
              </w:rPr>
            </w:pPr>
            <w:r>
              <w:rPr>
                <w:rFonts w:ascii="仿宋" w:hAnsi="仿宋" w:eastAsia="仿宋" w:cs="仿宋"/>
                <w:spacing w:val="-5"/>
                <w:sz w:val="22"/>
                <w:szCs w:val="22"/>
              </w:rPr>
              <w:t>定义</w:t>
            </w:r>
          </w:p>
        </w:tc>
        <w:tc>
          <w:tcPr>
            <w:tcW w:w="3831" w:type="dxa"/>
            <w:vAlign w:val="top"/>
          </w:tcPr>
          <w:p>
            <w:pPr>
              <w:spacing w:before="141" w:line="220" w:lineRule="auto"/>
              <w:ind w:left="1707"/>
              <w:rPr>
                <w:rFonts w:ascii="仿宋" w:hAnsi="仿宋" w:eastAsia="仿宋" w:cs="仿宋"/>
                <w:sz w:val="22"/>
                <w:szCs w:val="22"/>
              </w:rPr>
            </w:pPr>
            <w:r>
              <w:rPr>
                <w:rFonts w:ascii="仿宋" w:hAnsi="仿宋" w:eastAsia="仿宋" w:cs="仿宋"/>
                <w:spacing w:val="-4"/>
                <w:sz w:val="22"/>
                <w:szCs w:val="22"/>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76" w:type="dxa"/>
            <w:vAlign w:val="top"/>
          </w:tcPr>
          <w:p>
            <w:pPr>
              <w:spacing w:before="282" w:line="187" w:lineRule="auto"/>
              <w:ind w:left="58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3258" w:type="dxa"/>
            <w:vAlign w:val="top"/>
          </w:tcPr>
          <w:p>
            <w:pPr>
              <w:pStyle w:val="33"/>
              <w:spacing w:before="202" w:line="279" w:lineRule="exact"/>
              <w:ind w:left="672"/>
            </w:pPr>
            <w:r>
              <w:rPr>
                <w:spacing w:val="-2"/>
                <w:position w:val="-1"/>
              </w:rPr>
              <w:t>ln(M)</w:t>
            </w:r>
            <w:r>
              <w:rPr>
                <w:spacing w:val="31"/>
                <w:w w:val="101"/>
                <w:position w:val="-1"/>
              </w:rPr>
              <w:t xml:space="preserve"> </w:t>
            </w:r>
            <w:r>
              <w:rPr>
                <w:spacing w:val="-2"/>
                <w:position w:val="-1"/>
              </w:rPr>
              <w:t>&lt;</w:t>
            </w:r>
            <w:r>
              <w:rPr>
                <w:spacing w:val="12"/>
                <w:position w:val="-1"/>
              </w:rPr>
              <w:t xml:space="preserve"> </w:t>
            </w:r>
            <w:r>
              <w:fldChar w:fldCharType="begin"/>
            </w:r>
            <w:r>
              <w:instrText xml:space="preserve">EQ \* jc3 \* hps22 \o\al(\s\up 1(</w:instrText>
            </w:r>
            <w:r>
              <w:rPr>
                <w:position w:val="1"/>
              </w:rPr>
              <w:instrText xml:space="preserve">̅̅</w:instrText>
            </w:r>
            <w:r>
              <w:instrText xml:space="preserve">),</w:instrText>
            </w:r>
            <w:r>
              <w:rPr>
                <w:position w:val="-1"/>
              </w:rPr>
              <w:instrText xml:space="preserve">ln</w:instrText>
            </w:r>
            <w:r>
              <w:instrText xml:space="preserve">)</w:instrText>
            </w:r>
            <w:r>
              <w:fldChar w:fldCharType="end"/>
            </w:r>
            <w:r>
              <w:rPr>
                <w:position w:val="4"/>
              </w:rPr>
              <w:t>̅</w:t>
            </w:r>
            <w:r>
              <w:rPr>
                <w:position w:val="-5"/>
              </w:rPr>
              <w:drawing>
                <wp:inline distT="0" distB="0" distL="0" distR="0">
                  <wp:extent cx="42545" cy="172085"/>
                  <wp:effectExtent l="0" t="0" r="5080" b="889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8"/>
                          <a:stretch>
                            <a:fillRect/>
                          </a:stretch>
                        </pic:blipFill>
                        <pic:spPr>
                          <a:xfrm>
                            <a:off x="0" y="0"/>
                            <a:ext cx="42671" cy="172212"/>
                          </a:xfrm>
                          <a:prstGeom prst="rect">
                            <a:avLst/>
                          </a:prstGeom>
                        </pic:spPr>
                      </pic:pic>
                    </a:graphicData>
                  </a:graphic>
                </wp:inline>
              </w:drawing>
            </w:r>
            <w:r>
              <w:fldChar w:fldCharType="begin"/>
            </w:r>
            <w:r>
              <w:instrText xml:space="preserve">EQ \* jc3 \* hps22 \o\al(\s\up 1(</w:instrText>
            </w:r>
            <w:r>
              <w:rPr>
                <w:position w:val="1"/>
              </w:rPr>
              <w:instrText xml:space="preserve">̅̅̅</w:instrText>
            </w:r>
            <w:r>
              <w:instrText xml:space="preserve">),</w:instrText>
            </w:r>
            <w:r>
              <w:rPr>
                <w:w w:val="93"/>
                <w:position w:val="-1"/>
              </w:rPr>
              <w:instrText xml:space="preserve">M</w:instrText>
            </w:r>
            <w:r>
              <w:instrText xml:space="preserve">)</w:instrText>
            </w:r>
            <w:r>
              <w:fldChar w:fldCharType="end"/>
            </w:r>
            <w:r>
              <w:rPr>
                <w:position w:val="-5"/>
              </w:rPr>
              <w:drawing>
                <wp:inline distT="0" distB="0" distL="0" distR="0">
                  <wp:extent cx="42545" cy="172085"/>
                  <wp:effectExtent l="0" t="0" r="5080" b="889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37"/>
                          <a:stretch>
                            <a:fillRect/>
                          </a:stretch>
                        </pic:blipFill>
                        <pic:spPr>
                          <a:xfrm>
                            <a:off x="0" y="0"/>
                            <a:ext cx="42671" cy="172212"/>
                          </a:xfrm>
                          <a:prstGeom prst="rect">
                            <a:avLst/>
                          </a:prstGeom>
                        </pic:spPr>
                      </pic:pic>
                    </a:graphicData>
                  </a:graphic>
                </wp:inline>
              </w:drawing>
            </w:r>
            <w:r>
              <w:rPr>
                <w:spacing w:val="16"/>
                <w:w w:val="101"/>
                <w:position w:val="-1"/>
              </w:rPr>
              <w:t xml:space="preserve"> </w:t>
            </w:r>
            <w:r>
              <w:rPr>
                <w:spacing w:val="5"/>
                <w:position w:val="-1"/>
              </w:rPr>
              <w:t>−</w:t>
            </w:r>
            <w:r>
              <w:rPr>
                <w:spacing w:val="14"/>
                <w:w w:val="101"/>
                <w:position w:val="-1"/>
              </w:rPr>
              <w:t xml:space="preserve"> </w:t>
            </w:r>
            <w:r>
              <w:rPr>
                <w:spacing w:val="5"/>
                <w:position w:val="-1"/>
              </w:rPr>
              <w:t>2σ</w:t>
            </w:r>
          </w:p>
        </w:tc>
        <w:tc>
          <w:tcPr>
            <w:tcW w:w="3831" w:type="dxa"/>
            <w:vAlign w:val="top"/>
          </w:tcPr>
          <w:p>
            <w:pPr>
              <w:spacing w:before="242" w:line="219" w:lineRule="auto"/>
              <w:ind w:left="1154"/>
              <w:rPr>
                <w:rFonts w:ascii="仿宋" w:hAnsi="仿宋" w:eastAsia="仿宋" w:cs="仿宋"/>
                <w:sz w:val="22"/>
                <w:szCs w:val="22"/>
              </w:rPr>
            </w:pPr>
            <w:r>
              <w:rPr>
                <w:rFonts w:ascii="仿宋" w:hAnsi="仿宋" w:eastAsia="仿宋" w:cs="仿宋"/>
                <w:spacing w:val="-2"/>
                <w:sz w:val="22"/>
                <w:szCs w:val="22"/>
              </w:rPr>
              <w:t>极低风险死亡组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276" w:type="dxa"/>
            <w:vAlign w:val="top"/>
          </w:tcPr>
          <w:p>
            <w:pPr>
              <w:spacing w:before="252" w:line="187" w:lineRule="auto"/>
              <w:ind w:left="60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258" w:type="dxa"/>
            <w:vAlign w:val="top"/>
          </w:tcPr>
          <w:p>
            <w:pPr>
              <w:pStyle w:val="33"/>
              <w:spacing w:before="172" w:line="279" w:lineRule="exact"/>
              <w:ind w:left="732"/>
            </w:pPr>
            <w:r>
              <w:rPr>
                <w:spacing w:val="-2"/>
                <w:position w:val="-1"/>
              </w:rPr>
              <w:t>ln(M)</w:t>
            </w:r>
            <w:r>
              <w:rPr>
                <w:spacing w:val="30"/>
                <w:w w:val="101"/>
                <w:position w:val="-1"/>
              </w:rPr>
              <w:t xml:space="preserve"> </w:t>
            </w:r>
            <w:r>
              <w:rPr>
                <w:spacing w:val="-2"/>
                <w:position w:val="-1"/>
              </w:rPr>
              <w:t>&lt;</w:t>
            </w:r>
            <w:r>
              <w:rPr>
                <w:spacing w:val="12"/>
                <w:position w:val="-1"/>
              </w:rPr>
              <w:t xml:space="preserve"> </w:t>
            </w:r>
            <w:r>
              <w:fldChar w:fldCharType="begin"/>
            </w:r>
            <w:r>
              <w:instrText xml:space="preserve">EQ \* jc3 \* hps22 \o\al(\s\up 1(</w:instrText>
            </w:r>
            <w:r>
              <w:rPr>
                <w:position w:val="1"/>
              </w:rPr>
              <w:instrText xml:space="preserve">̅̅</w:instrText>
            </w:r>
            <w:r>
              <w:instrText xml:space="preserve">),</w:instrText>
            </w:r>
            <w:r>
              <w:rPr>
                <w:position w:val="-1"/>
              </w:rPr>
              <w:instrText xml:space="preserve">ln</w:instrText>
            </w:r>
            <w:r>
              <w:instrText xml:space="preserve">)</w:instrText>
            </w:r>
            <w:r>
              <w:fldChar w:fldCharType="end"/>
            </w:r>
            <w:r>
              <w:rPr>
                <w:position w:val="4"/>
              </w:rPr>
              <w:t>̅</w:t>
            </w:r>
            <w:r>
              <w:rPr>
                <w:position w:val="-5"/>
              </w:rPr>
              <w:drawing>
                <wp:inline distT="0" distB="0" distL="0" distR="0">
                  <wp:extent cx="42545" cy="172085"/>
                  <wp:effectExtent l="0" t="0" r="5080" b="889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38"/>
                          <a:stretch>
                            <a:fillRect/>
                          </a:stretch>
                        </pic:blipFill>
                        <pic:spPr>
                          <a:xfrm>
                            <a:off x="0" y="0"/>
                            <a:ext cx="42671" cy="172212"/>
                          </a:xfrm>
                          <a:prstGeom prst="rect">
                            <a:avLst/>
                          </a:prstGeom>
                        </pic:spPr>
                      </pic:pic>
                    </a:graphicData>
                  </a:graphic>
                </wp:inline>
              </w:drawing>
            </w:r>
            <w:r>
              <w:fldChar w:fldCharType="begin"/>
            </w:r>
            <w:r>
              <w:instrText xml:space="preserve">EQ \* jc3 \* hps22 \o\al(\s\up 1(</w:instrText>
            </w:r>
            <w:r>
              <w:rPr>
                <w:position w:val="1"/>
              </w:rPr>
              <w:instrText xml:space="preserve">̅̅̅</w:instrText>
            </w:r>
            <w:r>
              <w:instrText xml:space="preserve">),</w:instrText>
            </w:r>
            <w:r>
              <w:rPr>
                <w:w w:val="93"/>
                <w:position w:val="-1"/>
              </w:rPr>
              <w:instrText xml:space="preserve">M</w:instrText>
            </w:r>
            <w:r>
              <w:instrText xml:space="preserve">)</w:instrText>
            </w:r>
            <w:r>
              <w:fldChar w:fldCharType="end"/>
            </w:r>
            <w:r>
              <w:rPr>
                <w:position w:val="-5"/>
              </w:rPr>
              <w:drawing>
                <wp:inline distT="0" distB="0" distL="0" distR="0">
                  <wp:extent cx="42545" cy="172085"/>
                  <wp:effectExtent l="0" t="0" r="5080" b="889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7"/>
                          <a:stretch>
                            <a:fillRect/>
                          </a:stretch>
                        </pic:blipFill>
                        <pic:spPr>
                          <a:xfrm>
                            <a:off x="0" y="0"/>
                            <a:ext cx="42671" cy="172212"/>
                          </a:xfrm>
                          <a:prstGeom prst="rect">
                            <a:avLst/>
                          </a:prstGeom>
                        </pic:spPr>
                      </pic:pic>
                    </a:graphicData>
                  </a:graphic>
                </wp:inline>
              </w:drawing>
            </w:r>
            <w:r>
              <w:rPr>
                <w:spacing w:val="16"/>
                <w:w w:val="101"/>
                <w:position w:val="-1"/>
              </w:rPr>
              <w:t xml:space="preserve"> </w:t>
            </w:r>
            <w:r>
              <w:rPr>
                <w:spacing w:val="13"/>
                <w:position w:val="-1"/>
              </w:rPr>
              <w:t>−</w:t>
            </w:r>
            <w:r>
              <w:rPr>
                <w:spacing w:val="10"/>
                <w:position w:val="-1"/>
              </w:rPr>
              <w:t xml:space="preserve"> </w:t>
            </w:r>
            <w:r>
              <w:rPr>
                <w:spacing w:val="13"/>
                <w:position w:val="-1"/>
              </w:rPr>
              <w:t>σ</w:t>
            </w:r>
          </w:p>
        </w:tc>
        <w:tc>
          <w:tcPr>
            <w:tcW w:w="3831" w:type="dxa"/>
            <w:vAlign w:val="top"/>
          </w:tcPr>
          <w:p>
            <w:pPr>
              <w:spacing w:before="213" w:line="219" w:lineRule="auto"/>
              <w:ind w:left="1265"/>
              <w:rPr>
                <w:rFonts w:ascii="仿宋" w:hAnsi="仿宋" w:eastAsia="仿宋" w:cs="仿宋"/>
                <w:sz w:val="22"/>
                <w:szCs w:val="22"/>
              </w:rPr>
            </w:pPr>
            <w:r>
              <w:rPr>
                <w:rFonts w:ascii="仿宋" w:hAnsi="仿宋" w:eastAsia="仿宋" w:cs="仿宋"/>
                <w:spacing w:val="-2"/>
                <w:sz w:val="22"/>
                <w:szCs w:val="22"/>
              </w:rPr>
              <w:t>低风险死亡组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276" w:type="dxa"/>
            <w:vAlign w:val="top"/>
          </w:tcPr>
          <w:p>
            <w:pPr>
              <w:spacing w:before="255" w:line="187" w:lineRule="auto"/>
              <w:ind w:left="58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258" w:type="dxa"/>
            <w:vAlign w:val="top"/>
          </w:tcPr>
          <w:p>
            <w:pPr>
              <w:pStyle w:val="33"/>
              <w:spacing w:before="175" w:line="221" w:lineRule="auto"/>
              <w:ind w:left="302"/>
            </w:pPr>
            <w:r>
              <w:fldChar w:fldCharType="begin"/>
            </w:r>
            <w:r>
              <w:instrText xml:space="preserve">EQ \* jc3 \* hps22 \o\al(\s\up 1(̅̅),</w:instrText>
            </w:r>
            <w:r>
              <w:rPr>
                <w:position w:val="-2"/>
              </w:rPr>
              <w:instrText xml:space="preserve">ln</w:instrText>
            </w:r>
            <w:r>
              <w:instrText xml:space="preserve">)</w:instrText>
            </w:r>
            <w:r>
              <w:fldChar w:fldCharType="end"/>
            </w:r>
            <w:r>
              <w:rPr>
                <w:position w:val="2"/>
              </w:rPr>
              <w:t>̅</w:t>
            </w:r>
            <w:r>
              <w:rPr>
                <w:position w:val="-7"/>
              </w:rPr>
              <w:drawing>
                <wp:inline distT="0" distB="0" distL="0" distR="0">
                  <wp:extent cx="42545" cy="172085"/>
                  <wp:effectExtent l="0" t="0" r="5080" b="889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9"/>
                          <a:stretch>
                            <a:fillRect/>
                          </a:stretch>
                        </pic:blipFill>
                        <pic:spPr>
                          <a:xfrm>
                            <a:off x="0" y="0"/>
                            <a:ext cx="42740" cy="172212"/>
                          </a:xfrm>
                          <a:prstGeom prst="rect">
                            <a:avLst/>
                          </a:prstGeom>
                        </pic:spPr>
                      </pic:pic>
                    </a:graphicData>
                  </a:graphic>
                </wp:inline>
              </w:drawing>
            </w:r>
            <w:r>
              <w:fldChar w:fldCharType="begin"/>
            </w:r>
            <w:r>
              <w:instrText xml:space="preserve">EQ \* jc3 \* hps22 \o\al(\s\up 1(̅̅̅),</w:instrText>
            </w:r>
            <w:r>
              <w:rPr>
                <w:w w:val="93"/>
                <w:position w:val="-2"/>
              </w:rPr>
              <w:instrText xml:space="preserve">M</w:instrText>
            </w:r>
            <w:r>
              <w:instrText xml:space="preserve">)</w:instrText>
            </w:r>
            <w:r>
              <w:fldChar w:fldCharType="end"/>
            </w:r>
            <w:r>
              <w:rPr>
                <w:position w:val="-7"/>
              </w:rPr>
              <w:drawing>
                <wp:inline distT="0" distB="0" distL="0" distR="0">
                  <wp:extent cx="42545" cy="172085"/>
                  <wp:effectExtent l="0" t="0" r="5080" b="889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50"/>
                          <a:stretch>
                            <a:fillRect/>
                          </a:stretch>
                        </pic:blipFill>
                        <pic:spPr>
                          <a:xfrm>
                            <a:off x="0" y="0"/>
                            <a:ext cx="42740" cy="172212"/>
                          </a:xfrm>
                          <a:prstGeom prst="rect">
                            <a:avLst/>
                          </a:prstGeom>
                        </pic:spPr>
                      </pic:pic>
                    </a:graphicData>
                  </a:graphic>
                </wp:inline>
              </w:drawing>
            </w:r>
            <w:r>
              <w:rPr>
                <w:spacing w:val="60"/>
                <w:position w:val="-2"/>
              </w:rPr>
              <w:t xml:space="preserve"> </w:t>
            </w:r>
            <w:r>
              <w:rPr>
                <w:spacing w:val="-1"/>
                <w:position w:val="-2"/>
              </w:rPr>
              <w:t>−</w:t>
            </w:r>
            <w:r>
              <w:rPr>
                <w:spacing w:val="10"/>
                <w:position w:val="-2"/>
              </w:rPr>
              <w:t xml:space="preserve"> </w:t>
            </w:r>
            <w:r>
              <w:rPr>
                <w:spacing w:val="-1"/>
                <w:position w:val="-2"/>
              </w:rPr>
              <w:t>σ</w:t>
            </w:r>
            <w:r>
              <w:rPr>
                <w:spacing w:val="33"/>
                <w:position w:val="-2"/>
              </w:rPr>
              <w:t xml:space="preserve"> </w:t>
            </w:r>
            <w:r>
              <w:rPr>
                <w:spacing w:val="-1"/>
                <w:position w:val="-2"/>
              </w:rPr>
              <w:t>≤</w:t>
            </w:r>
            <w:r>
              <w:rPr>
                <w:spacing w:val="21"/>
                <w:position w:val="-2"/>
              </w:rPr>
              <w:t xml:space="preserve"> </w:t>
            </w:r>
            <w:r>
              <w:rPr>
                <w:spacing w:val="-1"/>
                <w:position w:val="-2"/>
              </w:rPr>
              <w:t>ln(M)</w:t>
            </w:r>
            <w:r>
              <w:rPr>
                <w:spacing w:val="27"/>
                <w:w w:val="101"/>
                <w:position w:val="-2"/>
              </w:rPr>
              <w:t xml:space="preserve"> </w:t>
            </w:r>
            <w:r>
              <w:rPr>
                <w:spacing w:val="-1"/>
                <w:position w:val="-2"/>
              </w:rPr>
              <w:t>&lt;</w:t>
            </w:r>
            <w:r>
              <w:rPr>
                <w:spacing w:val="11"/>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2"/>
              </w:rPr>
              <w:t>̅</w:t>
            </w:r>
            <w:r>
              <w:rPr>
                <w:position w:val="-7"/>
              </w:rPr>
              <w:drawing>
                <wp:inline distT="0" distB="0" distL="0" distR="0">
                  <wp:extent cx="42545" cy="172085"/>
                  <wp:effectExtent l="0" t="0" r="5080" b="889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49"/>
                          <a:stretch>
                            <a:fillRect/>
                          </a:stretch>
                        </pic:blipFill>
                        <pic:spPr>
                          <a:xfrm>
                            <a:off x="0" y="0"/>
                            <a:ext cx="42740" cy="172212"/>
                          </a:xfrm>
                          <a:prstGeom prst="rect">
                            <a:avLst/>
                          </a:prstGeom>
                        </pic:spPr>
                      </pic:pic>
                    </a:graphicData>
                  </a:graphic>
                </wp:inline>
              </w:drawing>
            </w:r>
            <w:r>
              <w:fldChar w:fldCharType="begin"/>
            </w:r>
            <w:r>
              <w:instrText xml:space="preserve">EQ \* jc3 \* hps22 \o\al(\s\up 1(̅̅̅),</w:instrText>
            </w:r>
            <w:r>
              <w:rPr>
                <w:w w:val="94"/>
                <w:position w:val="-2"/>
              </w:rPr>
              <w:instrText xml:space="preserve">M</w:instrText>
            </w:r>
            <w:r>
              <w:instrText xml:space="preserve">)</w:instrText>
            </w:r>
            <w:r>
              <w:fldChar w:fldCharType="end"/>
            </w:r>
            <w:r>
              <w:rPr>
                <w:position w:val="-7"/>
              </w:rPr>
              <w:drawing>
                <wp:inline distT="0" distB="0" distL="0" distR="0">
                  <wp:extent cx="43180" cy="172085"/>
                  <wp:effectExtent l="0" t="0" r="4445" b="889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51"/>
                          <a:stretch>
                            <a:fillRect/>
                          </a:stretch>
                        </pic:blipFill>
                        <pic:spPr>
                          <a:xfrm>
                            <a:off x="0" y="0"/>
                            <a:ext cx="43410" cy="172212"/>
                          </a:xfrm>
                          <a:prstGeom prst="rect">
                            <a:avLst/>
                          </a:prstGeom>
                        </pic:spPr>
                      </pic:pic>
                    </a:graphicData>
                  </a:graphic>
                </wp:inline>
              </w:drawing>
            </w:r>
          </w:p>
        </w:tc>
        <w:tc>
          <w:tcPr>
            <w:tcW w:w="3831" w:type="dxa"/>
            <w:vAlign w:val="top"/>
          </w:tcPr>
          <w:p>
            <w:pPr>
              <w:spacing w:before="215" w:line="219" w:lineRule="auto"/>
              <w:ind w:left="1183"/>
              <w:rPr>
                <w:rFonts w:ascii="仿宋" w:hAnsi="仿宋" w:eastAsia="仿宋" w:cs="仿宋"/>
                <w:sz w:val="22"/>
                <w:szCs w:val="22"/>
              </w:rPr>
            </w:pPr>
            <w:r>
              <w:rPr>
                <w:rFonts w:ascii="仿宋" w:hAnsi="仿宋" w:eastAsia="仿宋" w:cs="仿宋"/>
                <w:spacing w:val="-6"/>
                <w:sz w:val="22"/>
                <w:szCs w:val="22"/>
              </w:rPr>
              <w:t>中低风险死亡组</w:t>
            </w:r>
          </w:p>
        </w:tc>
      </w:tr>
    </w:tbl>
    <w:p>
      <w:pPr>
        <w:rPr>
          <w:rFonts w:ascii="Arial"/>
          <w:sz w:val="21"/>
        </w:rPr>
      </w:pPr>
    </w:p>
    <w:p>
      <w:pPr>
        <w:pStyle w:val="7"/>
        <w:spacing w:before="91" w:line="217" w:lineRule="auto"/>
        <w:ind w:left="590"/>
      </w:pPr>
      <w:r>
        <w:rPr>
          <w:spacing w:val="-3"/>
        </w:rPr>
        <w:t>（</w:t>
      </w:r>
      <w:r>
        <w:rPr>
          <w:rFonts w:ascii="Times New Roman" w:hAnsi="Times New Roman" w:eastAsia="Times New Roman" w:cs="Times New Roman"/>
          <w:spacing w:val="-3"/>
        </w:rPr>
        <w:t>3</w:t>
      </w:r>
      <w:r>
        <w:rPr>
          <w:spacing w:val="-3"/>
        </w:rPr>
        <w:t>）</w:t>
      </w:r>
      <w:r>
        <w:rPr>
          <w:spacing w:val="-39"/>
        </w:rPr>
        <w:t xml:space="preserve"> </w:t>
      </w:r>
      <w:r>
        <w:rPr>
          <w:spacing w:val="-3"/>
        </w:rPr>
        <w:t>不同病种死亡率偏离计算</w:t>
      </w:r>
    </w:p>
    <w:p>
      <w:pPr>
        <w:pStyle w:val="7"/>
        <w:spacing w:before="294" w:line="217" w:lineRule="auto"/>
        <w:ind w:left="613"/>
      </w:pPr>
      <w:r>
        <w:rPr>
          <w:spacing w:val="-2"/>
        </w:rPr>
        <w:t>医疗机构不同病种死亡率偏差的计算方法如下：</w:t>
      </w:r>
    </w:p>
    <w:p>
      <w:pPr>
        <w:spacing w:line="253" w:lineRule="auto"/>
        <w:rPr>
          <w:rFonts w:ascii="Arial"/>
          <w:sz w:val="21"/>
        </w:rPr>
      </w:pPr>
    </w:p>
    <w:p>
      <w:pPr>
        <w:pStyle w:val="7"/>
        <w:spacing w:before="23" w:line="123" w:lineRule="exact"/>
        <w:ind w:left="4245"/>
        <w:rPr>
          <w:sz w:val="7"/>
          <w:szCs w:val="7"/>
        </w:rPr>
      </w:pPr>
      <w:r>
        <w:rPr>
          <w:i/>
          <w:iCs/>
          <w:spacing w:val="75"/>
          <w:w w:val="161"/>
          <w:sz w:val="7"/>
          <w:szCs w:val="7"/>
        </w:rPr>
        <w:t>′</w:t>
      </w:r>
    </w:p>
    <w:p>
      <w:pPr>
        <w:spacing w:before="6" w:line="222" w:lineRule="auto"/>
        <w:ind w:left="3265"/>
        <w:rPr>
          <w:rFonts w:ascii="Cambria Math" w:hAnsi="Cambria Math" w:eastAsia="Cambria Math" w:cs="Cambria Math"/>
          <w:sz w:val="19"/>
          <w:szCs w:val="19"/>
        </w:rPr>
      </w:pPr>
      <w:r>
        <w:rPr>
          <w:rFonts w:ascii="Cambria Math" w:hAnsi="Cambria Math" w:eastAsia="Cambria Math" w:cs="Cambria Math"/>
          <w:position w:val="3"/>
          <w:sz w:val="28"/>
          <w:szCs w:val="28"/>
        </w:rPr>
        <w:t>D</w:t>
      </w:r>
      <w:r>
        <w:rPr>
          <w:rFonts w:ascii="Cambria Math" w:hAnsi="Cambria Math" w:eastAsia="Cambria Math" w:cs="Cambria Math"/>
          <w:position w:val="-2"/>
          <w:sz w:val="19"/>
          <w:szCs w:val="19"/>
        </w:rPr>
        <w:t>x</w:t>
      </w:r>
      <w:r>
        <w:rPr>
          <w:rFonts w:ascii="Cambria Math" w:hAnsi="Cambria Math" w:eastAsia="Cambria Math" w:cs="Cambria Math"/>
          <w:spacing w:val="15"/>
          <w:position w:val="-2"/>
          <w:sz w:val="19"/>
          <w:szCs w:val="19"/>
        </w:rPr>
        <w:t xml:space="preserve">  </w:t>
      </w:r>
      <w:r>
        <w:rPr>
          <w:rFonts w:ascii="Cambria Math" w:hAnsi="Cambria Math" w:eastAsia="Cambria Math" w:cs="Cambria Math"/>
          <w:spacing w:val="1"/>
          <w:position w:val="3"/>
          <w:sz w:val="28"/>
          <w:szCs w:val="28"/>
        </w:rPr>
        <w:t>=</w:t>
      </w:r>
      <w:r>
        <w:rPr>
          <w:rFonts w:ascii="Cambria Math" w:hAnsi="Cambria Math" w:eastAsia="Cambria Math" w:cs="Cambria Math"/>
          <w:spacing w:val="24"/>
          <w:w w:val="101"/>
          <w:position w:val="3"/>
          <w:sz w:val="28"/>
          <w:szCs w:val="28"/>
        </w:rPr>
        <w:t xml:space="preserve"> </w:t>
      </w:r>
      <w:r>
        <w:rPr>
          <w:rFonts w:ascii="Cambria Math" w:hAnsi="Cambria Math" w:eastAsia="Cambria Math" w:cs="Cambria Math"/>
          <w:position w:val="3"/>
          <w:sz w:val="28"/>
          <w:szCs w:val="28"/>
        </w:rPr>
        <w:t>M</w:t>
      </w:r>
      <w:r>
        <w:rPr>
          <w:rFonts w:ascii="Cambria Math" w:hAnsi="Cambria Math" w:eastAsia="Cambria Math" w:cs="Cambria Math"/>
          <w:position w:val="-4"/>
          <w:sz w:val="19"/>
          <w:szCs w:val="19"/>
        </w:rPr>
        <w:t>x</w:t>
      </w:r>
      <w:r>
        <w:rPr>
          <w:rFonts w:ascii="Cambria Math" w:hAnsi="Cambria Math" w:eastAsia="Cambria Math" w:cs="Cambria Math"/>
          <w:spacing w:val="7"/>
          <w:position w:val="-4"/>
          <w:sz w:val="19"/>
          <w:szCs w:val="19"/>
        </w:rPr>
        <w:t xml:space="preserve">    </w:t>
      </w:r>
      <w:r>
        <w:rPr>
          <w:rFonts w:ascii="Cambria Math" w:hAnsi="Cambria Math" w:eastAsia="Cambria Math" w:cs="Cambria Math"/>
          <w:spacing w:val="1"/>
          <w:position w:val="3"/>
          <w:sz w:val="28"/>
          <w:szCs w:val="28"/>
        </w:rPr>
        <w:t xml:space="preserve">− </w:t>
      </w:r>
      <w:r>
        <w:rPr>
          <w:rFonts w:ascii="Cambria Math" w:hAnsi="Cambria Math" w:eastAsia="Cambria Math" w:cs="Cambria Math"/>
          <w:position w:val="3"/>
          <w:sz w:val="28"/>
          <w:szCs w:val="28"/>
        </w:rPr>
        <w:t>M</w:t>
      </w:r>
      <w:r>
        <w:rPr>
          <w:rFonts w:ascii="Cambria Math" w:hAnsi="Cambria Math" w:eastAsia="Cambria Math" w:cs="Cambria Math"/>
          <w:position w:val="-2"/>
          <w:sz w:val="19"/>
          <w:szCs w:val="19"/>
        </w:rPr>
        <w:t>x</w:t>
      </w:r>
    </w:p>
    <w:p>
      <w:pPr>
        <w:pStyle w:val="7"/>
        <w:spacing w:before="140" w:line="209" w:lineRule="auto"/>
        <w:ind w:left="1690"/>
        <w:rPr>
          <w:sz w:val="7"/>
          <w:szCs w:val="7"/>
        </w:rPr>
      </w:pPr>
      <w:r>
        <w:rPr>
          <w:i/>
          <w:iCs/>
          <w:spacing w:val="75"/>
          <w:w w:val="161"/>
          <w:sz w:val="7"/>
          <w:szCs w:val="7"/>
        </w:rPr>
        <w:t>′</w:t>
      </w:r>
    </w:p>
    <w:p>
      <w:pPr>
        <w:pStyle w:val="7"/>
        <w:spacing w:before="1" w:line="308" w:lineRule="auto"/>
        <w:ind w:left="30" w:right="79" w:firstLine="561"/>
      </w:pPr>
      <w:r>
        <w:rPr>
          <w:spacing w:val="-2"/>
        </w:rPr>
        <w:t>其中：</w:t>
      </w:r>
      <w:r>
        <w:rPr>
          <w:rFonts w:ascii="Cambria Math" w:hAnsi="Cambria Math" w:eastAsia="Cambria Math" w:cs="Cambria Math"/>
          <w:spacing w:val="-2"/>
        </w:rPr>
        <w:t>M</w:t>
      </w:r>
      <w:r>
        <w:rPr>
          <w:rFonts w:ascii="Cambria Math" w:hAnsi="Cambria Math" w:eastAsia="Cambria Math" w:cs="Cambria Math"/>
          <w:spacing w:val="-2"/>
          <w:position w:val="-7"/>
          <w:sz w:val="19"/>
          <w:szCs w:val="19"/>
        </w:rPr>
        <w:t xml:space="preserve">x </w:t>
      </w:r>
      <w:r>
        <w:rPr>
          <w:spacing w:val="-2"/>
        </w:rPr>
        <w:t>为指定医疗机构不同病种死亡率，</w:t>
      </w:r>
      <w:r>
        <w:rPr>
          <w:rFonts w:ascii="Cambria Math" w:hAnsi="Cambria Math" w:eastAsia="Cambria Math" w:cs="Cambria Math"/>
          <w:spacing w:val="-2"/>
        </w:rPr>
        <w:t>M</w:t>
      </w:r>
      <w:r>
        <w:rPr>
          <w:rFonts w:ascii="Cambria Math" w:hAnsi="Cambria Math" w:eastAsia="Cambria Math" w:cs="Cambria Math"/>
          <w:spacing w:val="-3"/>
          <w:position w:val="-5"/>
          <w:sz w:val="19"/>
          <w:szCs w:val="19"/>
        </w:rPr>
        <w:t xml:space="preserve">x </w:t>
      </w:r>
      <w:r>
        <w:rPr>
          <w:spacing w:val="-3"/>
        </w:rPr>
        <w:t>为区域不同病种</w:t>
      </w:r>
      <w:r>
        <w:rPr>
          <w:spacing w:val="-6"/>
        </w:rPr>
        <w:t>平均死亡率。</w:t>
      </w:r>
    </w:p>
    <w:p>
      <w:pPr>
        <w:pStyle w:val="7"/>
        <w:spacing w:before="220" w:line="218" w:lineRule="auto"/>
        <w:ind w:left="590"/>
      </w:pPr>
      <w:r>
        <w:rPr>
          <w:spacing w:val="-4"/>
        </w:rPr>
        <w:t>（</w:t>
      </w:r>
      <w:r>
        <w:rPr>
          <w:rFonts w:ascii="Times New Roman" w:hAnsi="Times New Roman" w:eastAsia="Times New Roman" w:cs="Times New Roman"/>
          <w:spacing w:val="-4"/>
        </w:rPr>
        <w:t>4</w:t>
      </w:r>
      <w:r>
        <w:rPr>
          <w:spacing w:val="-4"/>
        </w:rPr>
        <w:t>）死亡风险评分计算</w:t>
      </w:r>
    </w:p>
    <w:p>
      <w:pPr>
        <w:pStyle w:val="7"/>
        <w:spacing w:before="295" w:line="397" w:lineRule="auto"/>
        <w:ind w:left="30" w:firstLine="583"/>
      </w:pPr>
      <w:r>
        <w:rPr>
          <w:spacing w:val="-5"/>
        </w:rPr>
        <w:t>医疗机构死亡风险评分（</w:t>
      </w:r>
      <w:r>
        <w:rPr>
          <w:rFonts w:ascii="Times New Roman" w:hAnsi="Times New Roman" w:eastAsia="Times New Roman" w:cs="Times New Roman"/>
          <w:spacing w:val="-5"/>
        </w:rPr>
        <w:t>Risk of</w:t>
      </w:r>
      <w:r>
        <w:rPr>
          <w:rFonts w:ascii="Times New Roman" w:hAnsi="Times New Roman" w:eastAsia="Times New Roman" w:cs="Times New Roman"/>
          <w:spacing w:val="-46"/>
        </w:rPr>
        <w:t xml:space="preserve"> </w:t>
      </w:r>
      <w:r>
        <w:rPr>
          <w:rFonts w:ascii="Times New Roman" w:hAnsi="Times New Roman" w:eastAsia="Times New Roman" w:cs="Times New Roman"/>
          <w:spacing w:val="-5"/>
        </w:rPr>
        <w:t>mortality</w:t>
      </w:r>
      <w:r>
        <w:rPr>
          <w:spacing w:val="-5"/>
        </w:rPr>
        <w:t>，</w:t>
      </w:r>
      <w:r>
        <w:rPr>
          <w:rFonts w:ascii="Times New Roman" w:hAnsi="Times New Roman" w:eastAsia="Times New Roman" w:cs="Times New Roman"/>
          <w:spacing w:val="-5"/>
        </w:rPr>
        <w:t>RM</w:t>
      </w:r>
      <w:r>
        <w:rPr>
          <w:spacing w:val="-5"/>
        </w:rPr>
        <w:t>）基于</w:t>
      </w:r>
      <w:r>
        <w:rPr>
          <w:spacing w:val="-6"/>
        </w:rPr>
        <w:t>病种进行测</w:t>
      </w:r>
      <w:r>
        <w:rPr>
          <w:spacing w:val="-1"/>
        </w:rPr>
        <w:t>算，其作为负向指标最终实现针对指定医疗机构病种组合层的调校，</w:t>
      </w:r>
      <w:r>
        <w:rPr>
          <w:spacing w:val="-2"/>
        </w:rPr>
        <w:t>其计算方法如下：</w:t>
      </w:r>
    </w:p>
    <w:p>
      <w:pPr>
        <w:pStyle w:val="7"/>
        <w:spacing w:before="64" w:line="386" w:lineRule="exact"/>
        <w:ind w:left="619"/>
      </w:pPr>
      <w:r>
        <w:rPr>
          <w:spacing w:val="-20"/>
          <w:position w:val="3"/>
        </w:rPr>
        <w:t>当</w:t>
      </w:r>
      <w:r>
        <w:rPr>
          <w:rFonts w:ascii="Cambria Math" w:hAnsi="Cambria Math" w:eastAsia="Cambria Math" w:cs="Cambria Math"/>
          <w:spacing w:val="-20"/>
          <w:position w:val="3"/>
        </w:rPr>
        <w:t>D</w:t>
      </w:r>
      <w:r>
        <w:rPr>
          <w:rFonts w:ascii="Cambria Math" w:hAnsi="Cambria Math" w:eastAsia="Cambria Math" w:cs="Cambria Math"/>
          <w:spacing w:val="-5"/>
          <w:position w:val="-2"/>
          <w:sz w:val="19"/>
          <w:szCs w:val="19"/>
        </w:rPr>
        <w:t>x</w:t>
      </w:r>
      <w:r>
        <w:rPr>
          <w:rFonts w:ascii="Cambria Math" w:hAnsi="Cambria Math" w:eastAsia="Cambria Math" w:cs="Cambria Math"/>
          <w:spacing w:val="19"/>
          <w:position w:val="-2"/>
          <w:sz w:val="19"/>
          <w:szCs w:val="19"/>
        </w:rPr>
        <w:t xml:space="preserve">  </w:t>
      </w:r>
      <w:r>
        <w:rPr>
          <w:rFonts w:ascii="Cambria Math" w:hAnsi="Cambria Math" w:eastAsia="Cambria Math" w:cs="Cambria Math"/>
          <w:spacing w:val="-5"/>
          <w:position w:val="3"/>
        </w:rPr>
        <w:t>≤</w:t>
      </w:r>
      <w:r>
        <w:rPr>
          <w:rFonts w:ascii="Cambria Math" w:hAnsi="Cambria Math" w:eastAsia="Cambria Math" w:cs="Cambria Math"/>
          <w:spacing w:val="31"/>
          <w:position w:val="3"/>
        </w:rPr>
        <w:t xml:space="preserve"> </w:t>
      </w:r>
      <w:r>
        <w:rPr>
          <w:rFonts w:ascii="Cambria Math" w:hAnsi="Cambria Math" w:eastAsia="Cambria Math" w:cs="Cambria Math"/>
          <w:spacing w:val="-5"/>
          <w:position w:val="3"/>
        </w:rPr>
        <w:t>0</w:t>
      </w:r>
      <w:r>
        <w:rPr>
          <w:spacing w:val="-5"/>
          <w:position w:val="3"/>
        </w:rPr>
        <w:t>时，令</w:t>
      </w:r>
      <w:r>
        <w:rPr>
          <w:spacing w:val="-65"/>
          <w:position w:val="3"/>
        </w:rPr>
        <w:t xml:space="preserve"> </w:t>
      </w:r>
      <w:r>
        <w:rPr>
          <w:rFonts w:ascii="Times New Roman" w:hAnsi="Times New Roman" w:eastAsia="Times New Roman" w:cs="Times New Roman"/>
          <w:spacing w:val="-5"/>
          <w:position w:val="3"/>
        </w:rPr>
        <w:t>RM</w:t>
      </w:r>
      <w:r>
        <w:rPr>
          <w:rFonts w:ascii="Cambria Math" w:hAnsi="Cambria Math" w:eastAsia="Cambria Math" w:cs="Cambria Math"/>
          <w:spacing w:val="-5"/>
          <w:position w:val="3"/>
        </w:rPr>
        <w:t>=</w:t>
      </w:r>
      <w:r>
        <w:rPr>
          <w:rFonts w:ascii="Cambria Math" w:hAnsi="Cambria Math" w:eastAsia="Cambria Math" w:cs="Cambria Math"/>
          <w:spacing w:val="32"/>
          <w:position w:val="3"/>
        </w:rPr>
        <w:t xml:space="preserve"> </w:t>
      </w:r>
      <w:r>
        <w:rPr>
          <w:rFonts w:ascii="Cambria Math" w:hAnsi="Cambria Math" w:eastAsia="Cambria Math" w:cs="Cambria Math"/>
          <w:spacing w:val="-5"/>
          <w:position w:val="3"/>
        </w:rPr>
        <w:t>0</w:t>
      </w:r>
      <w:r>
        <w:rPr>
          <w:spacing w:val="-5"/>
          <w:position w:val="3"/>
        </w:rPr>
        <w:t>；</w:t>
      </w:r>
    </w:p>
    <w:p>
      <w:pPr>
        <w:pStyle w:val="7"/>
        <w:spacing w:before="238" w:line="386" w:lineRule="exact"/>
        <w:ind w:left="619"/>
      </w:pPr>
      <w:r>
        <w:rPr>
          <w:spacing w:val="-20"/>
          <w:position w:val="3"/>
        </w:rPr>
        <w:t>当</w:t>
      </w:r>
      <w:r>
        <w:rPr>
          <w:rFonts w:ascii="Cambria Math" w:hAnsi="Cambria Math" w:eastAsia="Cambria Math" w:cs="Cambria Math"/>
          <w:spacing w:val="-20"/>
          <w:position w:val="3"/>
        </w:rPr>
        <w:t>D</w:t>
      </w:r>
      <w:r>
        <w:rPr>
          <w:rFonts w:ascii="Cambria Math" w:hAnsi="Cambria Math" w:eastAsia="Cambria Math" w:cs="Cambria Math"/>
          <w:spacing w:val="-2"/>
          <w:position w:val="-2"/>
          <w:sz w:val="19"/>
          <w:szCs w:val="19"/>
        </w:rPr>
        <w:t>x</w:t>
      </w:r>
      <w:r>
        <w:rPr>
          <w:rFonts w:ascii="Cambria Math" w:hAnsi="Cambria Math" w:eastAsia="Cambria Math" w:cs="Cambria Math"/>
          <w:spacing w:val="24"/>
          <w:w w:val="101"/>
          <w:position w:val="-2"/>
          <w:sz w:val="19"/>
          <w:szCs w:val="19"/>
        </w:rPr>
        <w:t xml:space="preserve">  </w:t>
      </w:r>
      <w:r>
        <w:rPr>
          <w:rFonts w:ascii="Cambria Math" w:hAnsi="Cambria Math" w:eastAsia="Cambria Math" w:cs="Cambria Math"/>
          <w:spacing w:val="-2"/>
          <w:position w:val="3"/>
        </w:rPr>
        <w:t>&gt;</w:t>
      </w:r>
      <w:r>
        <w:rPr>
          <w:rFonts w:ascii="Cambria Math" w:hAnsi="Cambria Math" w:eastAsia="Cambria Math" w:cs="Cambria Math"/>
          <w:spacing w:val="31"/>
          <w:position w:val="3"/>
        </w:rPr>
        <w:t xml:space="preserve"> </w:t>
      </w:r>
      <w:r>
        <w:rPr>
          <w:rFonts w:ascii="Cambria Math" w:hAnsi="Cambria Math" w:eastAsia="Cambria Math" w:cs="Cambria Math"/>
          <w:spacing w:val="-2"/>
          <w:position w:val="3"/>
        </w:rPr>
        <w:t>0</w:t>
      </w:r>
      <w:r>
        <w:rPr>
          <w:spacing w:val="-2"/>
          <w:position w:val="3"/>
        </w:rPr>
        <w:t>时，令</w:t>
      </w:r>
      <w:r>
        <w:rPr>
          <w:spacing w:val="-65"/>
          <w:position w:val="3"/>
        </w:rPr>
        <w:t xml:space="preserve"> </w:t>
      </w:r>
      <w:r>
        <w:rPr>
          <w:rFonts w:ascii="Times New Roman" w:hAnsi="Times New Roman" w:eastAsia="Times New Roman" w:cs="Times New Roman"/>
          <w:spacing w:val="-2"/>
          <w:position w:val="3"/>
        </w:rPr>
        <w:t>RM</w:t>
      </w:r>
      <w:r>
        <w:rPr>
          <w:rFonts w:ascii="Cambria Math" w:hAnsi="Cambria Math" w:eastAsia="Cambria Math" w:cs="Cambria Math"/>
          <w:spacing w:val="-2"/>
          <w:position w:val="3"/>
        </w:rPr>
        <w:t>=</w:t>
      </w:r>
      <w:r>
        <w:rPr>
          <w:rFonts w:ascii="Cambria Math" w:hAnsi="Cambria Math" w:eastAsia="Cambria Math" w:cs="Cambria Math"/>
          <w:spacing w:val="22"/>
          <w:position w:val="3"/>
        </w:rPr>
        <w:t xml:space="preserve"> </w:t>
      </w:r>
      <w:r>
        <w:rPr>
          <w:rFonts w:ascii="Cambria Math" w:hAnsi="Cambria Math" w:eastAsia="Cambria Math" w:cs="Cambria Math"/>
          <w:spacing w:val="-2"/>
          <w:position w:val="3"/>
        </w:rPr>
        <w:t>R</w:t>
      </w:r>
      <w:r>
        <w:rPr>
          <w:rFonts w:ascii="Cambria Math" w:hAnsi="Cambria Math" w:eastAsia="Cambria Math" w:cs="Cambria Math"/>
          <w:spacing w:val="28"/>
          <w:position w:val="3"/>
        </w:rPr>
        <w:t xml:space="preserve"> </w:t>
      </w:r>
      <w:r>
        <w:rPr>
          <w:rFonts w:ascii="Cambria Math" w:hAnsi="Cambria Math" w:eastAsia="Cambria Math" w:cs="Cambria Math"/>
          <w:spacing w:val="-2"/>
          <w:position w:val="3"/>
        </w:rPr>
        <w:t>∗ D</w:t>
      </w:r>
      <w:r>
        <w:rPr>
          <w:rFonts w:ascii="Cambria Math" w:hAnsi="Cambria Math" w:eastAsia="Cambria Math" w:cs="Cambria Math"/>
          <w:spacing w:val="-2"/>
          <w:position w:val="-2"/>
          <w:sz w:val="19"/>
          <w:szCs w:val="19"/>
        </w:rPr>
        <w:t>x</w:t>
      </w:r>
      <w:r>
        <w:rPr>
          <w:spacing w:val="-2"/>
          <w:position w:val="3"/>
        </w:rPr>
        <w:t>，其中</w:t>
      </w:r>
      <w:r>
        <w:rPr>
          <w:spacing w:val="-66"/>
          <w:position w:val="3"/>
        </w:rPr>
        <w:t xml:space="preserve"> </w:t>
      </w:r>
      <w:r>
        <w:rPr>
          <w:rFonts w:ascii="Times New Roman" w:hAnsi="Times New Roman" w:eastAsia="Times New Roman" w:cs="Times New Roman"/>
          <w:spacing w:val="-2"/>
          <w:position w:val="3"/>
        </w:rPr>
        <w:t>R</w:t>
      </w:r>
      <w:r>
        <w:rPr>
          <w:spacing w:val="-2"/>
          <w:position w:val="3"/>
        </w:rPr>
        <w:t>为病种对应概率分级的权</w:t>
      </w:r>
    </w:p>
    <w:p>
      <w:pPr>
        <w:pStyle w:val="7"/>
        <w:spacing w:before="238" w:line="219" w:lineRule="auto"/>
        <w:ind w:left="39"/>
      </w:pPr>
      <w:r>
        <w:rPr>
          <w:spacing w:val="-10"/>
        </w:rPr>
        <w:t>重，具体如下：</w:t>
      </w:r>
    </w:p>
    <w:p>
      <w:pPr>
        <w:spacing w:line="121" w:lineRule="exact"/>
      </w:pPr>
    </w:p>
    <w:tbl>
      <w:tblPr>
        <w:tblStyle w:val="31"/>
        <w:tblW w:w="4219" w:type="dxa"/>
        <w:tblInd w:w="20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613"/>
        <w:gridCol w:w="9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671" w:type="dxa"/>
            <w:vAlign w:val="top"/>
          </w:tcPr>
          <w:p>
            <w:pPr>
              <w:spacing w:before="129" w:line="219" w:lineRule="auto"/>
              <w:ind w:left="127"/>
              <w:rPr>
                <w:rFonts w:ascii="仿宋" w:hAnsi="仿宋" w:eastAsia="仿宋" w:cs="仿宋"/>
                <w:sz w:val="22"/>
                <w:szCs w:val="22"/>
              </w:rPr>
            </w:pPr>
            <w:r>
              <w:rPr>
                <w:rFonts w:ascii="仿宋" w:hAnsi="仿宋" w:eastAsia="仿宋" w:cs="仿宋"/>
                <w:spacing w:val="-4"/>
                <w:sz w:val="22"/>
                <w:szCs w:val="22"/>
              </w:rPr>
              <w:t>序号</w:t>
            </w:r>
          </w:p>
        </w:tc>
        <w:tc>
          <w:tcPr>
            <w:tcW w:w="2613" w:type="dxa"/>
            <w:vAlign w:val="top"/>
          </w:tcPr>
          <w:p>
            <w:pPr>
              <w:spacing w:before="129" w:line="219" w:lineRule="auto"/>
              <w:ind w:left="876"/>
              <w:rPr>
                <w:rFonts w:ascii="仿宋" w:hAnsi="仿宋" w:eastAsia="仿宋" w:cs="仿宋"/>
                <w:sz w:val="22"/>
                <w:szCs w:val="22"/>
              </w:rPr>
            </w:pPr>
            <w:r>
              <w:rPr>
                <w:rFonts w:ascii="仿宋" w:hAnsi="仿宋" w:eastAsia="仿宋" w:cs="仿宋"/>
                <w:spacing w:val="-3"/>
                <w:sz w:val="22"/>
                <w:szCs w:val="22"/>
              </w:rPr>
              <w:t>概率分级</w:t>
            </w:r>
          </w:p>
        </w:tc>
        <w:tc>
          <w:tcPr>
            <w:tcW w:w="935" w:type="dxa"/>
            <w:vAlign w:val="top"/>
          </w:tcPr>
          <w:p>
            <w:pPr>
              <w:spacing w:before="129" w:line="219" w:lineRule="auto"/>
              <w:ind w:left="258"/>
              <w:rPr>
                <w:rFonts w:ascii="仿宋" w:hAnsi="仿宋" w:eastAsia="仿宋" w:cs="仿宋"/>
                <w:sz w:val="22"/>
                <w:szCs w:val="22"/>
              </w:rPr>
            </w:pPr>
            <w:r>
              <w:rPr>
                <w:rFonts w:ascii="仿宋" w:hAnsi="仿宋" w:eastAsia="仿宋" w:cs="仿宋"/>
                <w:spacing w:val="-4"/>
                <w:sz w:val="22"/>
                <w:szCs w:val="22"/>
              </w:rPr>
              <w:t>权重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71" w:type="dxa"/>
            <w:vAlign w:val="top"/>
          </w:tcPr>
          <w:p>
            <w:pPr>
              <w:spacing w:before="166" w:line="187" w:lineRule="auto"/>
              <w:ind w:left="30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613" w:type="dxa"/>
            <w:vAlign w:val="top"/>
          </w:tcPr>
          <w:p>
            <w:pPr>
              <w:spacing w:before="125" w:line="219" w:lineRule="auto"/>
              <w:ind w:left="547"/>
              <w:rPr>
                <w:rFonts w:ascii="仿宋" w:hAnsi="仿宋" w:eastAsia="仿宋" w:cs="仿宋"/>
                <w:sz w:val="22"/>
                <w:szCs w:val="22"/>
              </w:rPr>
            </w:pPr>
            <w:r>
              <w:rPr>
                <w:rFonts w:ascii="仿宋" w:hAnsi="仿宋" w:eastAsia="仿宋" w:cs="仿宋"/>
                <w:spacing w:val="-2"/>
                <w:sz w:val="22"/>
                <w:szCs w:val="22"/>
              </w:rPr>
              <w:t>极低风险死亡组</w:t>
            </w:r>
          </w:p>
        </w:tc>
        <w:tc>
          <w:tcPr>
            <w:tcW w:w="935" w:type="dxa"/>
            <w:vAlign w:val="top"/>
          </w:tcPr>
          <w:p>
            <w:pPr>
              <w:spacing w:before="165" w:line="187"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71" w:type="dxa"/>
            <w:vAlign w:val="top"/>
          </w:tcPr>
          <w:p>
            <w:pPr>
              <w:spacing w:before="166" w:line="187" w:lineRule="auto"/>
              <w:ind w:left="28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613" w:type="dxa"/>
            <w:vAlign w:val="top"/>
          </w:tcPr>
          <w:p>
            <w:pPr>
              <w:spacing w:before="127" w:line="219" w:lineRule="auto"/>
              <w:ind w:left="658"/>
              <w:rPr>
                <w:rFonts w:ascii="仿宋" w:hAnsi="仿宋" w:eastAsia="仿宋" w:cs="仿宋"/>
                <w:sz w:val="22"/>
                <w:szCs w:val="22"/>
              </w:rPr>
            </w:pPr>
            <w:r>
              <w:rPr>
                <w:rFonts w:ascii="仿宋" w:hAnsi="仿宋" w:eastAsia="仿宋" w:cs="仿宋"/>
                <w:spacing w:val="-2"/>
                <w:sz w:val="22"/>
                <w:szCs w:val="22"/>
              </w:rPr>
              <w:t>低风险死亡组</w:t>
            </w:r>
          </w:p>
        </w:tc>
        <w:tc>
          <w:tcPr>
            <w:tcW w:w="935" w:type="dxa"/>
            <w:vAlign w:val="top"/>
          </w:tcPr>
          <w:p>
            <w:pPr>
              <w:spacing w:before="166" w:line="187"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671" w:type="dxa"/>
            <w:vAlign w:val="top"/>
          </w:tcPr>
          <w:p>
            <w:pPr>
              <w:spacing w:before="169" w:line="187" w:lineRule="auto"/>
              <w:ind w:left="287"/>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613" w:type="dxa"/>
            <w:vAlign w:val="top"/>
          </w:tcPr>
          <w:p>
            <w:pPr>
              <w:spacing w:before="129" w:line="219" w:lineRule="auto"/>
              <w:ind w:left="576"/>
              <w:rPr>
                <w:rFonts w:ascii="仿宋" w:hAnsi="仿宋" w:eastAsia="仿宋" w:cs="仿宋"/>
                <w:sz w:val="22"/>
                <w:szCs w:val="22"/>
              </w:rPr>
            </w:pPr>
            <w:r>
              <w:rPr>
                <w:rFonts w:ascii="仿宋" w:hAnsi="仿宋" w:eastAsia="仿宋" w:cs="仿宋"/>
                <w:spacing w:val="-6"/>
                <w:sz w:val="22"/>
                <w:szCs w:val="22"/>
              </w:rPr>
              <w:t>中低风险死亡组</w:t>
            </w:r>
          </w:p>
        </w:tc>
        <w:tc>
          <w:tcPr>
            <w:tcW w:w="935" w:type="dxa"/>
            <w:vAlign w:val="top"/>
          </w:tcPr>
          <w:p>
            <w:pPr>
              <w:spacing w:before="169" w:line="187"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71" w:type="dxa"/>
            <w:vAlign w:val="top"/>
          </w:tcPr>
          <w:p>
            <w:pPr>
              <w:spacing w:before="168" w:line="187" w:lineRule="auto"/>
              <w:ind w:left="281"/>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613" w:type="dxa"/>
            <w:vAlign w:val="top"/>
          </w:tcPr>
          <w:p>
            <w:pPr>
              <w:spacing w:before="127" w:line="219" w:lineRule="auto"/>
              <w:ind w:left="576"/>
              <w:rPr>
                <w:rFonts w:ascii="仿宋" w:hAnsi="仿宋" w:eastAsia="仿宋" w:cs="仿宋"/>
                <w:sz w:val="22"/>
                <w:szCs w:val="22"/>
              </w:rPr>
            </w:pPr>
            <w:r>
              <w:rPr>
                <w:rFonts w:ascii="仿宋" w:hAnsi="仿宋" w:eastAsia="仿宋" w:cs="仿宋"/>
                <w:spacing w:val="-6"/>
                <w:sz w:val="22"/>
                <w:szCs w:val="22"/>
              </w:rPr>
              <w:t>中高风险死亡组</w:t>
            </w:r>
          </w:p>
        </w:tc>
        <w:tc>
          <w:tcPr>
            <w:tcW w:w="935" w:type="dxa"/>
            <w:vAlign w:val="top"/>
          </w:tcPr>
          <w:p>
            <w:pPr>
              <w:spacing w:before="168" w:line="187"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671" w:type="dxa"/>
            <w:vAlign w:val="top"/>
          </w:tcPr>
          <w:p>
            <w:pPr>
              <w:spacing w:before="171" w:line="184" w:lineRule="auto"/>
              <w:ind w:left="288"/>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613" w:type="dxa"/>
            <w:vAlign w:val="top"/>
          </w:tcPr>
          <w:p>
            <w:pPr>
              <w:spacing w:before="128" w:line="220" w:lineRule="auto"/>
              <w:ind w:left="665"/>
              <w:rPr>
                <w:rFonts w:ascii="仿宋" w:hAnsi="仿宋" w:eastAsia="仿宋" w:cs="仿宋"/>
                <w:sz w:val="22"/>
                <w:szCs w:val="22"/>
              </w:rPr>
            </w:pPr>
            <w:r>
              <w:rPr>
                <w:rFonts w:ascii="仿宋" w:hAnsi="仿宋" w:eastAsia="仿宋" w:cs="仿宋"/>
                <w:spacing w:val="-4"/>
                <w:sz w:val="22"/>
                <w:szCs w:val="22"/>
              </w:rPr>
              <w:t>高风险死亡组</w:t>
            </w:r>
          </w:p>
        </w:tc>
        <w:tc>
          <w:tcPr>
            <w:tcW w:w="935" w:type="dxa"/>
            <w:vAlign w:val="top"/>
          </w:tcPr>
          <w:p>
            <w:pPr>
              <w:spacing w:before="168" w:line="187"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0.15</w:t>
            </w:r>
          </w:p>
        </w:tc>
      </w:tr>
    </w:tbl>
    <w:p>
      <w:pPr>
        <w:spacing w:line="122" w:lineRule="exact"/>
      </w:pPr>
    </w:p>
    <w:p>
      <w:pPr>
        <w:spacing w:line="122" w:lineRule="exact"/>
      </w:pPr>
    </w:p>
    <w:p>
      <w:pPr>
        <w:spacing w:line="122" w:lineRule="exact"/>
      </w:pPr>
    </w:p>
    <w:p>
      <w:pPr>
        <w:spacing w:line="122" w:lineRule="exact"/>
      </w:pPr>
    </w:p>
    <w:p>
      <w:pPr>
        <w:spacing w:line="122" w:lineRule="exact"/>
      </w:pPr>
    </w:p>
    <w:tbl>
      <w:tblPr>
        <w:tblStyle w:val="31"/>
        <w:tblW w:w="83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3258"/>
        <w:gridCol w:w="38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6" w:hRule="atLeast"/>
        </w:trPr>
        <w:tc>
          <w:tcPr>
            <w:tcW w:w="1276" w:type="dxa"/>
            <w:vAlign w:val="top"/>
          </w:tcPr>
          <w:p>
            <w:pPr>
              <w:spacing w:before="129" w:line="219" w:lineRule="auto"/>
              <w:ind w:left="211"/>
              <w:rPr>
                <w:rFonts w:ascii="仿宋" w:hAnsi="仿宋" w:eastAsia="仿宋" w:cs="仿宋"/>
                <w:sz w:val="22"/>
                <w:szCs w:val="22"/>
              </w:rPr>
            </w:pPr>
            <w:r>
              <w:rPr>
                <w:rFonts w:ascii="仿宋" w:hAnsi="仿宋" w:eastAsia="仿宋" w:cs="仿宋"/>
                <w:spacing w:val="-3"/>
                <w:sz w:val="22"/>
                <w:szCs w:val="22"/>
              </w:rPr>
              <w:t>分级序号</w:t>
            </w:r>
          </w:p>
        </w:tc>
        <w:tc>
          <w:tcPr>
            <w:tcW w:w="3258" w:type="dxa"/>
            <w:vAlign w:val="top"/>
          </w:tcPr>
          <w:p>
            <w:pPr>
              <w:spacing w:before="129" w:line="222" w:lineRule="auto"/>
              <w:ind w:left="1424"/>
              <w:rPr>
                <w:rFonts w:ascii="仿宋" w:hAnsi="仿宋" w:eastAsia="仿宋" w:cs="仿宋"/>
                <w:sz w:val="22"/>
                <w:szCs w:val="22"/>
              </w:rPr>
            </w:pPr>
            <w:r>
              <w:rPr>
                <w:rFonts w:ascii="仿宋" w:hAnsi="仿宋" w:eastAsia="仿宋" w:cs="仿宋"/>
                <w:spacing w:val="-5"/>
                <w:sz w:val="22"/>
                <w:szCs w:val="22"/>
              </w:rPr>
              <w:t>定义</w:t>
            </w:r>
          </w:p>
        </w:tc>
        <w:tc>
          <w:tcPr>
            <w:tcW w:w="3831" w:type="dxa"/>
            <w:vAlign w:val="top"/>
          </w:tcPr>
          <w:p>
            <w:pPr>
              <w:spacing w:before="129" w:line="220" w:lineRule="auto"/>
              <w:ind w:left="1707"/>
              <w:rPr>
                <w:rFonts w:ascii="仿宋" w:hAnsi="仿宋" w:eastAsia="仿宋" w:cs="仿宋"/>
                <w:sz w:val="22"/>
                <w:szCs w:val="22"/>
              </w:rPr>
            </w:pPr>
            <w:r>
              <w:rPr>
                <w:rFonts w:ascii="仿宋" w:hAnsi="仿宋" w:eastAsia="仿宋" w:cs="仿宋"/>
                <w:spacing w:val="-4"/>
                <w:sz w:val="22"/>
                <w:szCs w:val="22"/>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Align w:val="top"/>
          </w:tcPr>
          <w:p>
            <w:pPr>
              <w:spacing w:before="165" w:line="187" w:lineRule="auto"/>
              <w:ind w:left="58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3258" w:type="dxa"/>
            <w:vAlign w:val="top"/>
          </w:tcPr>
          <w:p>
            <w:pPr>
              <w:pStyle w:val="33"/>
              <w:spacing w:before="98" w:line="278" w:lineRule="exact"/>
              <w:ind w:left="580"/>
            </w:pPr>
            <w:r>
              <w:rPr>
                <w:position w:val="-1"/>
              </w:rPr>
              <w:t>ln(ER)</w:t>
            </w:r>
            <w:r>
              <w:rPr>
                <w:spacing w:val="27"/>
                <w:w w:val="101"/>
                <w:position w:val="-1"/>
              </w:rPr>
              <w:t xml:space="preserve"> </w:t>
            </w:r>
            <w:r>
              <w:rPr>
                <w:position w:val="-1"/>
              </w:rPr>
              <w:t>&lt;</w:t>
            </w:r>
            <w:r>
              <w:rPr>
                <w:spacing w:val="11"/>
                <w:position w:val="-1"/>
              </w:rPr>
              <w:t xml:space="preserve"> </w:t>
            </w:r>
            <w:r>
              <w:fldChar w:fldCharType="begin"/>
            </w:r>
            <w:r>
              <w:instrText xml:space="preserve">EQ \* jc3 \* hps22 \o\al(\s\up 1(</w:instrText>
            </w:r>
            <w:r>
              <w:rPr>
                <w:position w:val="1"/>
              </w:rPr>
              <w:instrText xml:space="preserve">̅̅</w:instrText>
            </w:r>
            <w:r>
              <w:instrText xml:space="preserve">),</w:instrText>
            </w:r>
            <w:r>
              <w:rPr>
                <w:position w:val="-1"/>
              </w:rPr>
              <w:instrText xml:space="preserve">ln</w:instrText>
            </w:r>
            <w:r>
              <w:instrText xml:space="preserve">)</w:instrText>
            </w:r>
            <w:r>
              <w:fldChar w:fldCharType="end"/>
            </w:r>
            <w:r>
              <w:rPr>
                <w:position w:val="4"/>
              </w:rPr>
              <w:t>̅</w:t>
            </w:r>
            <w:r>
              <w:rPr>
                <w:position w:val="-5"/>
              </w:rPr>
              <w:drawing>
                <wp:inline distT="0" distB="0" distL="0" distR="0">
                  <wp:extent cx="45720" cy="172085"/>
                  <wp:effectExtent l="0" t="0" r="1905" b="889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52"/>
                          <a:stretch>
                            <a:fillRect/>
                          </a:stretch>
                        </pic:blipFill>
                        <pic:spPr>
                          <a:xfrm>
                            <a:off x="0" y="0"/>
                            <a:ext cx="45902" cy="172211"/>
                          </a:xfrm>
                          <a:prstGeom prst="rect">
                            <a:avLst/>
                          </a:prstGeom>
                        </pic:spPr>
                      </pic:pic>
                    </a:graphicData>
                  </a:graphic>
                </wp:inline>
              </w:drawing>
            </w:r>
            <w:r>
              <w:fldChar w:fldCharType="begin"/>
            </w:r>
            <w:r>
              <w:instrText xml:space="preserve">EQ \* jc3 \* hps22 \o\al(\s\up 1(</w:instrText>
            </w:r>
            <w:r>
              <w:rPr>
                <w:position w:val="1"/>
              </w:rPr>
              <w:instrText xml:space="preserve">̅̅</w:instrText>
            </w:r>
            <w:r>
              <w:instrText xml:space="preserve">),</w:instrText>
            </w:r>
            <w:r>
              <w:rPr>
                <w:w w:val="85"/>
                <w:position w:val="-1"/>
              </w:rPr>
              <w:instrText xml:space="preserve">E</w:instrText>
            </w:r>
            <w:r>
              <w:instrText xml:space="preserve">)</w:instrText>
            </w:r>
            <w:r>
              <w:fldChar w:fldCharType="end"/>
            </w:r>
            <w:r>
              <w:fldChar w:fldCharType="begin"/>
            </w:r>
            <w:r>
              <w:instrText xml:space="preserve">EQ \* jc3 \* hps22 \o\al(\s\up 1(</w:instrText>
            </w:r>
            <w:r>
              <w:rPr>
                <w:position w:val="1"/>
              </w:rPr>
              <w:instrText xml:space="preserve">̅̅</w:instrText>
            </w:r>
            <w:r>
              <w:instrText xml:space="preserve">),</w:instrText>
            </w:r>
            <w:r>
              <w:rPr>
                <w:w w:val="80"/>
                <w:position w:val="-1"/>
              </w:rPr>
              <w:instrText xml:space="preserve">R</w:instrText>
            </w:r>
            <w:r>
              <w:instrText xml:space="preserve">)</w:instrText>
            </w:r>
            <w:r>
              <w:fldChar w:fldCharType="end"/>
            </w:r>
            <w:r>
              <w:rPr>
                <w:position w:val="-5"/>
              </w:rPr>
              <w:drawing>
                <wp:inline distT="0" distB="0" distL="0" distR="0">
                  <wp:extent cx="43180" cy="172085"/>
                  <wp:effectExtent l="0" t="0" r="4445" b="889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53"/>
                          <a:stretch>
                            <a:fillRect/>
                          </a:stretch>
                        </pic:blipFill>
                        <pic:spPr>
                          <a:xfrm>
                            <a:off x="0" y="0"/>
                            <a:ext cx="43434" cy="172211"/>
                          </a:xfrm>
                          <a:prstGeom prst="rect">
                            <a:avLst/>
                          </a:prstGeom>
                        </pic:spPr>
                      </pic:pic>
                    </a:graphicData>
                  </a:graphic>
                </wp:inline>
              </w:drawing>
            </w:r>
            <w:r>
              <w:rPr>
                <w:spacing w:val="16"/>
                <w:position w:val="-1"/>
              </w:rPr>
              <w:t xml:space="preserve"> </w:t>
            </w:r>
            <w:r>
              <w:rPr>
                <w:spacing w:val="8"/>
                <w:position w:val="-1"/>
              </w:rPr>
              <w:t>−</w:t>
            </w:r>
            <w:r>
              <w:rPr>
                <w:spacing w:val="14"/>
                <w:position w:val="-1"/>
              </w:rPr>
              <w:t xml:space="preserve"> </w:t>
            </w:r>
            <w:r>
              <w:rPr>
                <w:spacing w:val="8"/>
                <w:position w:val="-1"/>
              </w:rPr>
              <w:t>2σ</w:t>
            </w:r>
          </w:p>
        </w:tc>
        <w:tc>
          <w:tcPr>
            <w:tcW w:w="3831" w:type="dxa"/>
            <w:vAlign w:val="top"/>
          </w:tcPr>
          <w:p>
            <w:pPr>
              <w:spacing w:before="125" w:line="218" w:lineRule="auto"/>
              <w:ind w:left="935"/>
              <w:rPr>
                <w:rFonts w:ascii="仿宋" w:hAnsi="仿宋" w:eastAsia="仿宋" w:cs="仿宋"/>
                <w:sz w:val="22"/>
                <w:szCs w:val="22"/>
              </w:rPr>
            </w:pPr>
            <w:r>
              <w:rPr>
                <w:rFonts w:ascii="仿宋" w:hAnsi="仿宋" w:eastAsia="仿宋" w:cs="仿宋"/>
                <w:spacing w:val="-2"/>
                <w:sz w:val="22"/>
                <w:szCs w:val="22"/>
              </w:rPr>
              <w:t>极低概率超长住院组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Align w:val="top"/>
          </w:tcPr>
          <w:p>
            <w:pPr>
              <w:spacing w:before="166" w:line="187" w:lineRule="auto"/>
              <w:ind w:left="60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258" w:type="dxa"/>
            <w:vAlign w:val="top"/>
          </w:tcPr>
          <w:p>
            <w:pPr>
              <w:pStyle w:val="33"/>
              <w:spacing w:before="98" w:line="279" w:lineRule="exact"/>
              <w:ind w:left="640"/>
            </w:pPr>
            <w:r>
              <w:rPr>
                <w:position w:val="-1"/>
              </w:rPr>
              <w:t>ln(ER)</w:t>
            </w:r>
            <w:r>
              <w:rPr>
                <w:spacing w:val="27"/>
                <w:w w:val="101"/>
                <w:position w:val="-1"/>
              </w:rPr>
              <w:t xml:space="preserve"> </w:t>
            </w:r>
            <w:r>
              <w:rPr>
                <w:position w:val="-1"/>
              </w:rPr>
              <w:t>&lt;</w:t>
            </w:r>
            <w:r>
              <w:rPr>
                <w:spacing w:val="11"/>
                <w:position w:val="-1"/>
              </w:rPr>
              <w:t xml:space="preserve"> </w:t>
            </w:r>
            <w:r>
              <w:fldChar w:fldCharType="begin"/>
            </w:r>
            <w:r>
              <w:instrText xml:space="preserve">EQ \* jc3 \* hps22 \o\al(\s\up 1(</w:instrText>
            </w:r>
            <w:r>
              <w:rPr>
                <w:position w:val="1"/>
              </w:rPr>
              <w:instrText xml:space="preserve">̅̅</w:instrText>
            </w:r>
            <w:r>
              <w:instrText xml:space="preserve">),</w:instrText>
            </w:r>
            <w:r>
              <w:rPr>
                <w:position w:val="-1"/>
              </w:rPr>
              <w:instrText xml:space="preserve">ln</w:instrText>
            </w:r>
            <w:r>
              <w:instrText xml:space="preserve">)</w:instrText>
            </w:r>
            <w:r>
              <w:fldChar w:fldCharType="end"/>
            </w:r>
            <w:r>
              <w:rPr>
                <w:position w:val="4"/>
              </w:rPr>
              <w:t>̅</w:t>
            </w:r>
            <w:r>
              <w:rPr>
                <w:position w:val="-5"/>
              </w:rPr>
              <w:drawing>
                <wp:inline distT="0" distB="0" distL="0" distR="0">
                  <wp:extent cx="45720" cy="172085"/>
                  <wp:effectExtent l="0" t="0" r="1905" b="889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4"/>
                          <a:stretch>
                            <a:fillRect/>
                          </a:stretch>
                        </pic:blipFill>
                        <pic:spPr>
                          <a:xfrm>
                            <a:off x="0" y="0"/>
                            <a:ext cx="45902" cy="172211"/>
                          </a:xfrm>
                          <a:prstGeom prst="rect">
                            <a:avLst/>
                          </a:prstGeom>
                        </pic:spPr>
                      </pic:pic>
                    </a:graphicData>
                  </a:graphic>
                </wp:inline>
              </w:drawing>
            </w:r>
            <w:r>
              <w:fldChar w:fldCharType="begin"/>
            </w:r>
            <w:r>
              <w:instrText xml:space="preserve">EQ \* jc3 \* hps22 \o\al(\s\up 1(</w:instrText>
            </w:r>
            <w:r>
              <w:rPr>
                <w:position w:val="1"/>
              </w:rPr>
              <w:instrText xml:space="preserve">̅̅</w:instrText>
            </w:r>
            <w:r>
              <w:instrText xml:space="preserve">),</w:instrText>
            </w:r>
            <w:r>
              <w:rPr>
                <w:w w:val="85"/>
                <w:position w:val="-1"/>
              </w:rPr>
              <w:instrText xml:space="preserve">E</w:instrText>
            </w:r>
            <w:r>
              <w:instrText xml:space="preserve">)</w:instrText>
            </w:r>
            <w:r>
              <w:fldChar w:fldCharType="end"/>
            </w:r>
            <w:r>
              <w:fldChar w:fldCharType="begin"/>
            </w:r>
            <w:r>
              <w:instrText xml:space="preserve">EQ \* jc3 \* hps22 \o\al(\s\up 1(</w:instrText>
            </w:r>
            <w:r>
              <w:rPr>
                <w:position w:val="1"/>
              </w:rPr>
              <w:instrText xml:space="preserve">̅̅</w:instrText>
            </w:r>
            <w:r>
              <w:instrText xml:space="preserve">),</w:instrText>
            </w:r>
            <w:r>
              <w:rPr>
                <w:w w:val="80"/>
                <w:position w:val="-1"/>
              </w:rPr>
              <w:instrText xml:space="preserve">R</w:instrText>
            </w:r>
            <w:r>
              <w:instrText xml:space="preserve">)</w:instrText>
            </w:r>
            <w:r>
              <w:fldChar w:fldCharType="end"/>
            </w:r>
            <w:r>
              <w:rPr>
                <w:position w:val="-5"/>
              </w:rPr>
              <w:drawing>
                <wp:inline distT="0" distB="0" distL="0" distR="0">
                  <wp:extent cx="43180" cy="172085"/>
                  <wp:effectExtent l="0" t="0" r="4445" b="889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0"/>
                          <a:stretch>
                            <a:fillRect/>
                          </a:stretch>
                        </pic:blipFill>
                        <pic:spPr>
                          <a:xfrm>
                            <a:off x="0" y="0"/>
                            <a:ext cx="43434" cy="172211"/>
                          </a:xfrm>
                          <a:prstGeom prst="rect">
                            <a:avLst/>
                          </a:prstGeom>
                        </pic:spPr>
                      </pic:pic>
                    </a:graphicData>
                  </a:graphic>
                </wp:inline>
              </w:drawing>
            </w:r>
            <w:r>
              <w:rPr>
                <w:spacing w:val="16"/>
                <w:position w:val="-1"/>
              </w:rPr>
              <w:t xml:space="preserve"> </w:t>
            </w:r>
            <w:r>
              <w:rPr>
                <w:spacing w:val="17"/>
                <w:position w:val="-1"/>
              </w:rPr>
              <w:t>−</w:t>
            </w:r>
            <w:r>
              <w:rPr>
                <w:spacing w:val="10"/>
                <w:position w:val="-1"/>
              </w:rPr>
              <w:t xml:space="preserve"> </w:t>
            </w:r>
            <w:r>
              <w:rPr>
                <w:spacing w:val="17"/>
                <w:position w:val="-1"/>
              </w:rPr>
              <w:t>σ</w:t>
            </w:r>
          </w:p>
        </w:tc>
        <w:tc>
          <w:tcPr>
            <w:tcW w:w="3831" w:type="dxa"/>
            <w:vAlign w:val="top"/>
          </w:tcPr>
          <w:p>
            <w:pPr>
              <w:spacing w:before="126" w:line="218" w:lineRule="auto"/>
              <w:ind w:left="1046"/>
              <w:rPr>
                <w:rFonts w:ascii="仿宋" w:hAnsi="仿宋" w:eastAsia="仿宋" w:cs="仿宋"/>
                <w:sz w:val="22"/>
                <w:szCs w:val="22"/>
              </w:rPr>
            </w:pPr>
            <w:r>
              <w:rPr>
                <w:rFonts w:ascii="仿宋" w:hAnsi="仿宋" w:eastAsia="仿宋" w:cs="仿宋"/>
                <w:spacing w:val="-2"/>
                <w:sz w:val="22"/>
                <w:szCs w:val="22"/>
              </w:rPr>
              <w:t>低概率超长住院组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276" w:type="dxa"/>
            <w:vAlign w:val="top"/>
          </w:tcPr>
          <w:p>
            <w:pPr>
              <w:spacing w:before="170" w:line="187" w:lineRule="auto"/>
              <w:ind w:left="58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258" w:type="dxa"/>
            <w:vAlign w:val="top"/>
          </w:tcPr>
          <w:p>
            <w:pPr>
              <w:pStyle w:val="33"/>
              <w:spacing w:before="102" w:line="278" w:lineRule="exact"/>
              <w:ind w:left="166"/>
            </w:pPr>
            <w:r>
              <w:fldChar w:fldCharType="begin"/>
            </w:r>
            <w:r>
              <w:instrText xml:space="preserve">EQ \* jc3 \* hps22 \o\al(\s\up 1(</w:instrText>
            </w:r>
            <w:r>
              <w:rPr>
                <w:position w:val="2"/>
              </w:rPr>
              <w:instrText xml:space="preserve">̅̅</w:instrText>
            </w:r>
            <w:r>
              <w:instrText xml:space="preserve">),</w:instrText>
            </w:r>
            <w:r>
              <w:rPr>
                <w:position w:val="-1"/>
              </w:rPr>
              <w:instrText xml:space="preserve">ln</w:instrText>
            </w:r>
            <w:r>
              <w:instrText xml:space="preserve">)</w:instrText>
            </w:r>
            <w:r>
              <w:fldChar w:fldCharType="end"/>
            </w:r>
            <w:r>
              <w:rPr>
                <w:position w:val="4"/>
              </w:rPr>
              <w:t>̅</w:t>
            </w:r>
            <w:r>
              <w:rPr>
                <w:position w:val="-5"/>
              </w:rPr>
              <w:drawing>
                <wp:inline distT="0" distB="0" distL="0" distR="0">
                  <wp:extent cx="45720" cy="172085"/>
                  <wp:effectExtent l="0" t="0" r="1905" b="889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5"/>
                          <a:stretch>
                            <a:fillRect/>
                          </a:stretch>
                        </pic:blipFill>
                        <pic:spPr>
                          <a:xfrm>
                            <a:off x="0" y="0"/>
                            <a:ext cx="45903" cy="172211"/>
                          </a:xfrm>
                          <a:prstGeom prst="rect">
                            <a:avLst/>
                          </a:prstGeom>
                        </pic:spPr>
                      </pic:pic>
                    </a:graphicData>
                  </a:graphic>
                </wp:inline>
              </w:drawing>
            </w:r>
            <w:r>
              <w:fldChar w:fldCharType="begin"/>
            </w:r>
            <w:r>
              <w:instrText xml:space="preserve">EQ \* jc3 \* hps22 \o\al(\s\up 1(</w:instrText>
            </w:r>
            <w:r>
              <w:rPr>
                <w:position w:val="2"/>
              </w:rPr>
              <w:instrText xml:space="preserve">̅̅</w:instrText>
            </w:r>
            <w:r>
              <w:instrText xml:space="preserve">),</w:instrText>
            </w:r>
            <w:r>
              <w:rPr>
                <w:w w:val="85"/>
                <w:position w:val="-1"/>
              </w:rPr>
              <w:instrText xml:space="preserve">E</w:instrText>
            </w:r>
            <w:r>
              <w:instrText xml:space="preserve">)</w:instrText>
            </w:r>
            <w:r>
              <w:fldChar w:fldCharType="end"/>
            </w:r>
            <w:r>
              <w:fldChar w:fldCharType="begin"/>
            </w:r>
            <w:r>
              <w:instrText xml:space="preserve">EQ \* jc3 \* hps22 \o\al(\s\up 1(</w:instrText>
            </w:r>
            <w:r>
              <w:rPr>
                <w:position w:val="2"/>
              </w:rPr>
              <w:instrText xml:space="preserve">̅̅</w:instrText>
            </w:r>
            <w:r>
              <w:instrText xml:space="preserve">),</w:instrText>
            </w:r>
            <w:r>
              <w:rPr>
                <w:w w:val="80"/>
                <w:position w:val="-1"/>
              </w:rPr>
              <w:instrText xml:space="preserve">R</w:instrText>
            </w:r>
            <w:r>
              <w:instrText xml:space="preserve">)</w:instrText>
            </w:r>
            <w:r>
              <w:fldChar w:fldCharType="end"/>
            </w:r>
            <w:r>
              <w:rPr>
                <w:position w:val="-5"/>
              </w:rPr>
              <w:drawing>
                <wp:inline distT="0" distB="0" distL="0" distR="0">
                  <wp:extent cx="43180" cy="172085"/>
                  <wp:effectExtent l="0" t="0" r="4445" b="889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9"/>
                          <a:stretch>
                            <a:fillRect/>
                          </a:stretch>
                        </pic:blipFill>
                        <pic:spPr>
                          <a:xfrm>
                            <a:off x="0" y="0"/>
                            <a:ext cx="43433" cy="172211"/>
                          </a:xfrm>
                          <a:prstGeom prst="rect">
                            <a:avLst/>
                          </a:prstGeom>
                        </pic:spPr>
                      </pic:pic>
                    </a:graphicData>
                  </a:graphic>
                </wp:inline>
              </w:drawing>
            </w:r>
            <w:r>
              <w:rPr>
                <w:spacing w:val="66"/>
                <w:position w:val="-1"/>
              </w:rPr>
              <w:t xml:space="preserve"> </w:t>
            </w:r>
            <w:r>
              <w:rPr>
                <w:spacing w:val="2"/>
                <w:position w:val="-1"/>
              </w:rPr>
              <w:t>− σ</w:t>
            </w:r>
            <w:r>
              <w:rPr>
                <w:spacing w:val="33"/>
                <w:position w:val="-1"/>
              </w:rPr>
              <w:t xml:space="preserve"> </w:t>
            </w:r>
            <w:r>
              <w:rPr>
                <w:spacing w:val="2"/>
                <w:position w:val="-1"/>
              </w:rPr>
              <w:t>≤</w:t>
            </w:r>
            <w:r>
              <w:rPr>
                <w:spacing w:val="18"/>
                <w:w w:val="101"/>
                <w:position w:val="-1"/>
              </w:rPr>
              <w:t xml:space="preserve"> </w:t>
            </w:r>
            <w:r>
              <w:rPr>
                <w:spacing w:val="2"/>
              </w:rPr>
              <w:t>ln(ER)</w:t>
            </w:r>
            <w:r>
              <w:rPr>
                <w:spacing w:val="25"/>
              </w:rPr>
              <w:t xml:space="preserve"> </w:t>
            </w:r>
            <w:r>
              <w:rPr>
                <w:spacing w:val="2"/>
                <w:position w:val="-1"/>
              </w:rPr>
              <w:t>&lt;</w:t>
            </w:r>
            <w:r>
              <w:rPr>
                <w:spacing w:val="14"/>
                <w:position w:val="-1"/>
              </w:rPr>
              <w:t xml:space="preserve"> </w:t>
            </w:r>
            <w:r>
              <w:fldChar w:fldCharType="begin"/>
            </w:r>
            <w:r>
              <w:instrText xml:space="preserve">EQ \* jc3 \* hps22 \o\al(\s\up 1(</w:instrText>
            </w:r>
            <w:r>
              <w:rPr>
                <w:position w:val="2"/>
              </w:rPr>
              <w:instrText xml:space="preserve">̅̅</w:instrText>
            </w:r>
            <w:r>
              <w:instrText xml:space="preserve">),</w:instrText>
            </w:r>
            <w:r>
              <w:rPr>
                <w:position w:val="-1"/>
              </w:rPr>
              <w:instrText xml:space="preserve">ln</w:instrText>
            </w:r>
            <w:r>
              <w:instrText xml:space="preserve">)</w:instrText>
            </w:r>
            <w:r>
              <w:fldChar w:fldCharType="end"/>
            </w:r>
            <w:r>
              <w:rPr>
                <w:position w:val="4"/>
              </w:rPr>
              <w:t>̅</w:t>
            </w:r>
            <w:r>
              <w:rPr>
                <w:position w:val="-5"/>
              </w:rPr>
              <w:drawing>
                <wp:inline distT="0" distB="0" distL="0" distR="0">
                  <wp:extent cx="45720" cy="172085"/>
                  <wp:effectExtent l="0" t="0" r="1905" b="889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6"/>
                          <a:stretch>
                            <a:fillRect/>
                          </a:stretch>
                        </pic:blipFill>
                        <pic:spPr>
                          <a:xfrm>
                            <a:off x="0" y="0"/>
                            <a:ext cx="45902" cy="172211"/>
                          </a:xfrm>
                          <a:prstGeom prst="rect">
                            <a:avLst/>
                          </a:prstGeom>
                        </pic:spPr>
                      </pic:pic>
                    </a:graphicData>
                  </a:graphic>
                </wp:inline>
              </w:drawing>
            </w:r>
            <w:r>
              <w:fldChar w:fldCharType="begin"/>
            </w:r>
            <w:r>
              <w:instrText xml:space="preserve">EQ \* jc3 \* hps22 \o\al(\s\up 1(</w:instrText>
            </w:r>
            <w:r>
              <w:rPr>
                <w:position w:val="2"/>
              </w:rPr>
              <w:instrText xml:space="preserve">̅̅</w:instrText>
            </w:r>
            <w:r>
              <w:instrText xml:space="preserve">),</w:instrText>
            </w:r>
            <w:r>
              <w:rPr>
                <w:w w:val="85"/>
                <w:position w:val="-1"/>
              </w:rPr>
              <w:instrText xml:space="preserve">E</w:instrText>
            </w:r>
            <w:r>
              <w:instrText xml:space="preserve">)</w:instrText>
            </w:r>
            <w:r>
              <w:fldChar w:fldCharType="end"/>
            </w:r>
            <w:r>
              <w:fldChar w:fldCharType="begin"/>
            </w:r>
            <w:r>
              <w:instrText xml:space="preserve">EQ \* jc3 \* hps22 \o\al(\s\up 1(</w:instrText>
            </w:r>
            <w:r>
              <w:rPr>
                <w:position w:val="2"/>
              </w:rPr>
              <w:instrText xml:space="preserve">̅̅</w:instrText>
            </w:r>
            <w:r>
              <w:instrText xml:space="preserve">),</w:instrText>
            </w:r>
            <w:r>
              <w:rPr>
                <w:w w:val="80"/>
                <w:position w:val="-1"/>
              </w:rPr>
              <w:instrText xml:space="preserve">R</w:instrText>
            </w:r>
            <w:r>
              <w:instrText xml:space="preserve">)</w:instrText>
            </w:r>
            <w:r>
              <w:fldChar w:fldCharType="end"/>
            </w:r>
            <w:r>
              <w:rPr>
                <w:position w:val="-5"/>
              </w:rPr>
              <w:drawing>
                <wp:inline distT="0" distB="0" distL="0" distR="0">
                  <wp:extent cx="43180" cy="172085"/>
                  <wp:effectExtent l="0" t="0" r="4445" b="889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7"/>
                          <a:stretch>
                            <a:fillRect/>
                          </a:stretch>
                        </pic:blipFill>
                        <pic:spPr>
                          <a:xfrm>
                            <a:off x="0" y="0"/>
                            <a:ext cx="43433" cy="172211"/>
                          </a:xfrm>
                          <a:prstGeom prst="rect">
                            <a:avLst/>
                          </a:prstGeom>
                        </pic:spPr>
                      </pic:pic>
                    </a:graphicData>
                  </a:graphic>
                </wp:inline>
              </w:drawing>
            </w:r>
          </w:p>
        </w:tc>
        <w:tc>
          <w:tcPr>
            <w:tcW w:w="3831" w:type="dxa"/>
            <w:vAlign w:val="top"/>
          </w:tcPr>
          <w:p>
            <w:pPr>
              <w:spacing w:before="130" w:line="218" w:lineRule="auto"/>
              <w:ind w:left="964"/>
              <w:rPr>
                <w:rFonts w:ascii="仿宋" w:hAnsi="仿宋" w:eastAsia="仿宋" w:cs="仿宋"/>
                <w:sz w:val="22"/>
                <w:szCs w:val="22"/>
              </w:rPr>
            </w:pPr>
            <w:r>
              <w:rPr>
                <w:rFonts w:ascii="仿宋" w:hAnsi="仿宋" w:eastAsia="仿宋" w:cs="仿宋"/>
                <w:spacing w:val="-5"/>
                <w:sz w:val="22"/>
                <w:szCs w:val="22"/>
              </w:rPr>
              <w:t>中低概率超长住院组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Align w:val="top"/>
          </w:tcPr>
          <w:p>
            <w:pPr>
              <w:spacing w:before="168" w:line="187" w:lineRule="auto"/>
              <w:ind w:left="58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258" w:type="dxa"/>
            <w:vAlign w:val="top"/>
          </w:tcPr>
          <w:p>
            <w:pPr>
              <w:pStyle w:val="33"/>
              <w:spacing w:before="100" w:line="221" w:lineRule="auto"/>
              <w:ind w:left="166"/>
            </w:pPr>
            <w:r>
              <w:fldChar w:fldCharType="begin"/>
            </w:r>
            <w:r>
              <w:instrText xml:space="preserve">EQ \* jc3 \* hps22 \o\al(\s\up 1(̅̅),</w:instrText>
            </w:r>
            <w:r>
              <w:rPr>
                <w:position w:val="-2"/>
              </w:rPr>
              <w:instrText xml:space="preserve">ln</w:instrText>
            </w:r>
            <w:r>
              <w:instrText xml:space="preserve">)</w:instrText>
            </w:r>
            <w:r>
              <w:fldChar w:fldCharType="end"/>
            </w:r>
            <w:r>
              <w:rPr>
                <w:position w:val="2"/>
              </w:rPr>
              <w:t>̅</w:t>
            </w:r>
            <w:r>
              <w:rPr>
                <w:position w:val="-7"/>
              </w:rPr>
              <w:drawing>
                <wp:inline distT="0" distB="0" distL="0" distR="0">
                  <wp:extent cx="45720" cy="172085"/>
                  <wp:effectExtent l="0" t="0" r="1905" b="889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7"/>
                          <a:stretch>
                            <a:fillRect/>
                          </a:stretch>
                        </pic:blipFill>
                        <pic:spPr>
                          <a:xfrm>
                            <a:off x="0" y="0"/>
                            <a:ext cx="45903" cy="172211"/>
                          </a:xfrm>
                          <a:prstGeom prst="rect">
                            <a:avLst/>
                          </a:prstGeom>
                        </pic:spPr>
                      </pic:pic>
                    </a:graphicData>
                  </a:graphic>
                </wp:inline>
              </w:drawing>
            </w:r>
            <w:r>
              <w:fldChar w:fldCharType="begin"/>
            </w:r>
            <w:r>
              <w:instrText xml:space="preserve">EQ \* jc3 \* hps22 \o\al(\s\up 1(̅̅),</w:instrText>
            </w:r>
            <w:r>
              <w:rPr>
                <w:w w:val="85"/>
                <w:position w:val="-2"/>
              </w:rPr>
              <w:instrText xml:space="preserve">E</w:instrText>
            </w:r>
            <w:r>
              <w:instrText xml:space="preserve">)</w:instrText>
            </w:r>
            <w:r>
              <w:fldChar w:fldCharType="end"/>
            </w:r>
            <w:r>
              <w:fldChar w:fldCharType="begin"/>
            </w:r>
            <w:r>
              <w:instrText xml:space="preserve">EQ \* jc3 \* hps22 \o\al(\s\up 1(̅̅),</w:instrText>
            </w:r>
            <w:r>
              <w:rPr>
                <w:w w:val="80"/>
                <w:position w:val="-2"/>
              </w:rPr>
              <w:instrText xml:space="preserve">R</w:instrText>
            </w:r>
            <w:r>
              <w:instrText xml:space="preserve">)</w:instrText>
            </w:r>
            <w:r>
              <w:fldChar w:fldCharType="end"/>
            </w:r>
            <w:r>
              <w:rPr>
                <w:position w:val="-7"/>
              </w:rPr>
              <w:drawing>
                <wp:inline distT="0" distB="0" distL="0" distR="0">
                  <wp:extent cx="43180" cy="172085"/>
                  <wp:effectExtent l="0" t="0" r="4445" b="889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1"/>
                          <a:stretch>
                            <a:fillRect/>
                          </a:stretch>
                        </pic:blipFill>
                        <pic:spPr>
                          <a:xfrm>
                            <a:off x="0" y="0"/>
                            <a:ext cx="43434" cy="172211"/>
                          </a:xfrm>
                          <a:prstGeom prst="rect">
                            <a:avLst/>
                          </a:prstGeom>
                        </pic:spPr>
                      </pic:pic>
                    </a:graphicData>
                  </a:graphic>
                </wp:inline>
              </w:drawing>
            </w:r>
            <w:r>
              <w:rPr>
                <w:spacing w:val="28"/>
                <w:w w:val="101"/>
                <w:position w:val="-2"/>
              </w:rPr>
              <w:t xml:space="preserve"> </w:t>
            </w:r>
            <w:r>
              <w:rPr>
                <w:spacing w:val="4"/>
                <w:position w:val="-2"/>
              </w:rPr>
              <w:t>≤</w:t>
            </w:r>
            <w:r>
              <w:rPr>
                <w:spacing w:val="18"/>
                <w:w w:val="101"/>
                <w:position w:val="-2"/>
              </w:rPr>
              <w:t xml:space="preserve"> </w:t>
            </w:r>
            <w:r>
              <w:rPr>
                <w:spacing w:val="4"/>
                <w:position w:val="-2"/>
              </w:rPr>
              <w:t>ln(ER)</w:t>
            </w:r>
            <w:r>
              <w:rPr>
                <w:spacing w:val="27"/>
                <w:w w:val="101"/>
                <w:position w:val="-2"/>
              </w:rPr>
              <w:t xml:space="preserve"> </w:t>
            </w:r>
            <w:r>
              <w:rPr>
                <w:spacing w:val="4"/>
                <w:position w:val="-2"/>
              </w:rPr>
              <w:t>&lt;</w:t>
            </w:r>
            <w:r>
              <w:rPr>
                <w:spacing w:val="11"/>
                <w:position w:val="-2"/>
              </w:rPr>
              <w:t xml:space="preserve"> </w:t>
            </w:r>
            <w:r>
              <w:fldChar w:fldCharType="begin"/>
            </w:r>
            <w:r>
              <w:instrText xml:space="preserve">EQ \* jc3 \* hps22 \o\al(\s\up 1(̅̅),</w:instrText>
            </w:r>
            <w:r>
              <w:rPr>
                <w:position w:val="-2"/>
              </w:rPr>
              <w:instrText xml:space="preserve">ln</w:instrText>
            </w:r>
            <w:r>
              <w:instrText xml:space="preserve">)</w:instrText>
            </w:r>
            <w:r>
              <w:fldChar w:fldCharType="end"/>
            </w:r>
            <w:r>
              <w:rPr>
                <w:position w:val="2"/>
              </w:rPr>
              <w:t>̅</w:t>
            </w:r>
            <w:r>
              <w:rPr>
                <w:position w:val="-7"/>
              </w:rPr>
              <w:drawing>
                <wp:inline distT="0" distB="0" distL="0" distR="0">
                  <wp:extent cx="45720" cy="172085"/>
                  <wp:effectExtent l="0" t="0" r="1905" b="889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7"/>
                          <a:stretch>
                            <a:fillRect/>
                          </a:stretch>
                        </pic:blipFill>
                        <pic:spPr>
                          <a:xfrm>
                            <a:off x="0" y="0"/>
                            <a:ext cx="45902" cy="172211"/>
                          </a:xfrm>
                          <a:prstGeom prst="rect">
                            <a:avLst/>
                          </a:prstGeom>
                        </pic:spPr>
                      </pic:pic>
                    </a:graphicData>
                  </a:graphic>
                </wp:inline>
              </w:drawing>
            </w:r>
            <w:r>
              <w:fldChar w:fldCharType="begin"/>
            </w:r>
            <w:r>
              <w:instrText xml:space="preserve">EQ \* jc3 \* hps22 \o\al(\s\up 1(̅̅),</w:instrText>
            </w:r>
            <w:r>
              <w:rPr>
                <w:w w:val="85"/>
                <w:position w:val="-2"/>
              </w:rPr>
              <w:instrText xml:space="preserve">E</w:instrText>
            </w:r>
            <w:r>
              <w:instrText xml:space="preserve">)</w:instrText>
            </w:r>
            <w:r>
              <w:fldChar w:fldCharType="end"/>
            </w:r>
            <w:r>
              <w:fldChar w:fldCharType="begin"/>
            </w:r>
            <w:r>
              <w:instrText xml:space="preserve">EQ \* jc3 \* hps22 \o\al(\s\up 1(̅̅),</w:instrText>
            </w:r>
            <w:r>
              <w:rPr>
                <w:w w:val="80"/>
                <w:position w:val="-2"/>
              </w:rPr>
              <w:instrText xml:space="preserve">R</w:instrText>
            </w:r>
            <w:r>
              <w:instrText xml:space="preserve">)</w:instrText>
            </w:r>
            <w:r>
              <w:fldChar w:fldCharType="end"/>
            </w:r>
            <w:r>
              <w:rPr>
                <w:position w:val="-7"/>
              </w:rPr>
              <w:drawing>
                <wp:inline distT="0" distB="0" distL="0" distR="0">
                  <wp:extent cx="43180" cy="172085"/>
                  <wp:effectExtent l="0" t="0" r="4445" b="889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0"/>
                          <a:stretch>
                            <a:fillRect/>
                          </a:stretch>
                        </pic:blipFill>
                        <pic:spPr>
                          <a:xfrm>
                            <a:off x="0" y="0"/>
                            <a:ext cx="43434" cy="172211"/>
                          </a:xfrm>
                          <a:prstGeom prst="rect">
                            <a:avLst/>
                          </a:prstGeom>
                        </pic:spPr>
                      </pic:pic>
                    </a:graphicData>
                  </a:graphic>
                </wp:inline>
              </w:drawing>
            </w:r>
            <w:r>
              <w:rPr>
                <w:spacing w:val="16"/>
                <w:position w:val="-2"/>
              </w:rPr>
              <w:t xml:space="preserve"> </w:t>
            </w:r>
            <w:r>
              <w:rPr>
                <w:spacing w:val="17"/>
                <w:position w:val="-2"/>
              </w:rPr>
              <w:t>+</w:t>
            </w:r>
            <w:r>
              <w:rPr>
                <w:spacing w:val="9"/>
                <w:position w:val="-2"/>
              </w:rPr>
              <w:t xml:space="preserve"> </w:t>
            </w:r>
            <w:r>
              <w:rPr>
                <w:spacing w:val="17"/>
                <w:position w:val="-2"/>
              </w:rPr>
              <w:t>σ</w:t>
            </w:r>
          </w:p>
        </w:tc>
        <w:tc>
          <w:tcPr>
            <w:tcW w:w="3831" w:type="dxa"/>
            <w:vAlign w:val="top"/>
          </w:tcPr>
          <w:p>
            <w:pPr>
              <w:spacing w:before="128" w:line="218" w:lineRule="auto"/>
              <w:ind w:left="964"/>
              <w:rPr>
                <w:rFonts w:ascii="仿宋" w:hAnsi="仿宋" w:eastAsia="仿宋" w:cs="仿宋"/>
                <w:sz w:val="22"/>
                <w:szCs w:val="22"/>
              </w:rPr>
            </w:pPr>
            <w:r>
              <w:rPr>
                <w:rFonts w:ascii="仿宋" w:hAnsi="仿宋" w:eastAsia="仿宋" w:cs="仿宋"/>
                <w:spacing w:val="-5"/>
                <w:sz w:val="22"/>
                <w:szCs w:val="22"/>
              </w:rPr>
              <w:t>中高概率超长住院组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276" w:type="dxa"/>
            <w:vAlign w:val="top"/>
          </w:tcPr>
          <w:p>
            <w:pPr>
              <w:spacing w:before="169" w:line="187" w:lineRule="auto"/>
              <w:ind w:left="584"/>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258" w:type="dxa"/>
            <w:vAlign w:val="top"/>
          </w:tcPr>
          <w:p>
            <w:pPr>
              <w:pStyle w:val="33"/>
              <w:spacing w:before="101" w:line="279" w:lineRule="exact"/>
              <w:ind w:left="640"/>
            </w:pPr>
            <w:r>
              <w:rPr>
                <w:position w:val="-1"/>
              </w:rPr>
              <w:t>ln(ER)</w:t>
            </w:r>
            <w:r>
              <w:rPr>
                <w:spacing w:val="27"/>
                <w:w w:val="101"/>
                <w:position w:val="-1"/>
              </w:rPr>
              <w:t xml:space="preserve"> </w:t>
            </w:r>
            <w:r>
              <w:rPr>
                <w:position w:val="-1"/>
              </w:rPr>
              <w:t>≥</w:t>
            </w:r>
            <w:r>
              <w:rPr>
                <w:spacing w:val="11"/>
                <w:position w:val="-1"/>
              </w:rPr>
              <w:t xml:space="preserve"> </w:t>
            </w:r>
            <w:r>
              <w:fldChar w:fldCharType="begin"/>
            </w:r>
            <w:r>
              <w:instrText xml:space="preserve">EQ \* jc3 \* hps22 \o\al(\s\up 1(</w:instrText>
            </w:r>
            <w:r>
              <w:rPr>
                <w:position w:val="1"/>
              </w:rPr>
              <w:instrText xml:space="preserve">̅̅</w:instrText>
            </w:r>
            <w:r>
              <w:instrText xml:space="preserve">),</w:instrText>
            </w:r>
            <w:r>
              <w:rPr>
                <w:position w:val="-1"/>
              </w:rPr>
              <w:instrText xml:space="preserve">ln</w:instrText>
            </w:r>
            <w:r>
              <w:instrText xml:space="preserve">)</w:instrText>
            </w:r>
            <w:r>
              <w:fldChar w:fldCharType="end"/>
            </w:r>
            <w:r>
              <w:rPr>
                <w:position w:val="4"/>
              </w:rPr>
              <w:t>̅</w:t>
            </w:r>
            <w:r>
              <w:rPr>
                <w:position w:val="-5"/>
              </w:rPr>
              <w:drawing>
                <wp:inline distT="0" distB="0" distL="0" distR="0">
                  <wp:extent cx="45720" cy="172085"/>
                  <wp:effectExtent l="0" t="0" r="1905" b="889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4"/>
                          <a:stretch>
                            <a:fillRect/>
                          </a:stretch>
                        </pic:blipFill>
                        <pic:spPr>
                          <a:xfrm>
                            <a:off x="0" y="0"/>
                            <a:ext cx="45902" cy="172211"/>
                          </a:xfrm>
                          <a:prstGeom prst="rect">
                            <a:avLst/>
                          </a:prstGeom>
                        </pic:spPr>
                      </pic:pic>
                    </a:graphicData>
                  </a:graphic>
                </wp:inline>
              </w:drawing>
            </w:r>
            <w:r>
              <w:fldChar w:fldCharType="begin"/>
            </w:r>
            <w:r>
              <w:instrText xml:space="preserve">EQ \* jc3 \* hps22 \o\al(\s\up 1(</w:instrText>
            </w:r>
            <w:r>
              <w:rPr>
                <w:position w:val="1"/>
              </w:rPr>
              <w:instrText xml:space="preserve">̅̅</w:instrText>
            </w:r>
            <w:r>
              <w:instrText xml:space="preserve">),</w:instrText>
            </w:r>
            <w:r>
              <w:rPr>
                <w:w w:val="85"/>
                <w:position w:val="-1"/>
              </w:rPr>
              <w:instrText xml:space="preserve">E</w:instrText>
            </w:r>
            <w:r>
              <w:instrText xml:space="preserve">)</w:instrText>
            </w:r>
            <w:r>
              <w:fldChar w:fldCharType="end"/>
            </w:r>
            <w:r>
              <w:fldChar w:fldCharType="begin"/>
            </w:r>
            <w:r>
              <w:instrText xml:space="preserve">EQ \* jc3 \* hps22 \o\al(\s\up 1(</w:instrText>
            </w:r>
            <w:r>
              <w:rPr>
                <w:position w:val="1"/>
              </w:rPr>
              <w:instrText xml:space="preserve">̅̅</w:instrText>
            </w:r>
            <w:r>
              <w:instrText xml:space="preserve">),</w:instrText>
            </w:r>
            <w:r>
              <w:rPr>
                <w:w w:val="80"/>
                <w:position w:val="-1"/>
              </w:rPr>
              <w:instrText xml:space="preserve">R</w:instrText>
            </w:r>
            <w:r>
              <w:instrText xml:space="preserve">)</w:instrText>
            </w:r>
            <w:r>
              <w:fldChar w:fldCharType="end"/>
            </w:r>
            <w:r>
              <w:rPr>
                <w:position w:val="-5"/>
              </w:rPr>
              <w:drawing>
                <wp:inline distT="0" distB="0" distL="0" distR="0">
                  <wp:extent cx="43180" cy="172085"/>
                  <wp:effectExtent l="0" t="0" r="4445" b="889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40"/>
                          <a:stretch>
                            <a:fillRect/>
                          </a:stretch>
                        </pic:blipFill>
                        <pic:spPr>
                          <a:xfrm>
                            <a:off x="0" y="0"/>
                            <a:ext cx="43434" cy="172211"/>
                          </a:xfrm>
                          <a:prstGeom prst="rect">
                            <a:avLst/>
                          </a:prstGeom>
                        </pic:spPr>
                      </pic:pic>
                    </a:graphicData>
                  </a:graphic>
                </wp:inline>
              </w:drawing>
            </w:r>
            <w:r>
              <w:rPr>
                <w:spacing w:val="16"/>
                <w:position w:val="-1"/>
              </w:rPr>
              <w:t xml:space="preserve"> </w:t>
            </w:r>
            <w:r>
              <w:rPr>
                <w:spacing w:val="17"/>
                <w:position w:val="-1"/>
              </w:rPr>
              <w:t>+</w:t>
            </w:r>
            <w:r>
              <w:rPr>
                <w:spacing w:val="10"/>
                <w:position w:val="-1"/>
              </w:rPr>
              <w:t xml:space="preserve"> </w:t>
            </w:r>
            <w:r>
              <w:rPr>
                <w:spacing w:val="17"/>
                <w:position w:val="-1"/>
              </w:rPr>
              <w:t>σ</w:t>
            </w:r>
          </w:p>
        </w:tc>
        <w:tc>
          <w:tcPr>
            <w:tcW w:w="3831" w:type="dxa"/>
            <w:vAlign w:val="top"/>
          </w:tcPr>
          <w:p>
            <w:pPr>
              <w:spacing w:before="129" w:line="218" w:lineRule="auto"/>
              <w:ind w:left="1053"/>
              <w:rPr>
                <w:rFonts w:ascii="仿宋" w:hAnsi="仿宋" w:eastAsia="仿宋" w:cs="仿宋"/>
                <w:sz w:val="22"/>
                <w:szCs w:val="22"/>
              </w:rPr>
            </w:pPr>
            <w:r>
              <w:rPr>
                <w:rFonts w:ascii="仿宋" w:hAnsi="仿宋" w:eastAsia="仿宋" w:cs="仿宋"/>
                <w:spacing w:val="-3"/>
                <w:sz w:val="22"/>
                <w:szCs w:val="22"/>
              </w:rPr>
              <w:t>高概率超长住院组</w:t>
            </w:r>
          </w:p>
        </w:tc>
      </w:tr>
    </w:tbl>
    <w:p>
      <w:pPr>
        <w:keepNext w:val="0"/>
        <w:keepLines w:val="0"/>
        <w:pageBreakBefore w:val="0"/>
        <w:widowControl w:val="0"/>
        <w:kinsoku/>
        <w:wordWrap/>
        <w:overflowPunct/>
        <w:topLinePunct w:val="0"/>
        <w:autoSpaceDE/>
        <w:autoSpaceDN/>
        <w:bidi w:val="0"/>
        <w:adjustRightInd/>
        <w:snapToGrid/>
        <w:spacing w:line="560" w:lineRule="exact"/>
        <w:ind w:firstLine="2209" w:firstLineChars="500"/>
        <w:jc w:val="both"/>
        <w:textAlignment w:val="auto"/>
        <w:outlineLvl w:val="9"/>
        <w:rPr>
          <w:rFonts w:hint="eastAsia" w:asciiTheme="majorEastAsia" w:hAnsiTheme="majorEastAsia" w:eastAsiaTheme="majorEastAsia" w:cstheme="majorEastAsia"/>
          <w:b/>
          <w:bCs/>
          <w:kern w:val="44"/>
          <w:sz w:val="44"/>
          <w:szCs w:val="44"/>
          <w:lang w:val="en-US" w:eastAsia="zh-CN" w:bidi="ar-SA"/>
        </w:rPr>
      </w:pPr>
      <w:bookmarkStart w:id="135" w:name="_Toc9364"/>
    </w:p>
    <w:p>
      <w:pPr>
        <w:keepNext w:val="0"/>
        <w:keepLines w:val="0"/>
        <w:pageBreakBefore w:val="0"/>
        <w:widowControl w:val="0"/>
        <w:kinsoku/>
        <w:wordWrap/>
        <w:overflowPunct/>
        <w:topLinePunct w:val="0"/>
        <w:autoSpaceDE/>
        <w:autoSpaceDN/>
        <w:bidi w:val="0"/>
        <w:adjustRightInd/>
        <w:snapToGrid/>
        <w:spacing w:line="560" w:lineRule="exact"/>
        <w:ind w:firstLine="2209" w:firstLineChars="500"/>
        <w:jc w:val="both"/>
        <w:textAlignment w:val="auto"/>
        <w:outlineLvl w:val="1"/>
        <w:rPr>
          <w:rFonts w:hint="eastAsia" w:asciiTheme="majorEastAsia" w:hAnsiTheme="majorEastAsia" w:eastAsiaTheme="majorEastAsia" w:cstheme="majorEastAsia"/>
          <w:b/>
          <w:bCs/>
          <w:kern w:val="44"/>
          <w:sz w:val="44"/>
          <w:szCs w:val="44"/>
          <w:lang w:val="en-US" w:eastAsia="zh-CN" w:bidi="ar-SA"/>
        </w:rPr>
      </w:pPr>
      <w:bookmarkStart w:id="136" w:name="_Toc19738"/>
      <w:r>
        <w:rPr>
          <w:rFonts w:hint="eastAsia" w:asciiTheme="majorEastAsia" w:hAnsiTheme="majorEastAsia" w:eastAsiaTheme="majorEastAsia" w:cstheme="majorEastAsia"/>
          <w:b/>
          <w:bCs/>
          <w:kern w:val="44"/>
          <w:sz w:val="44"/>
          <w:szCs w:val="44"/>
          <w:lang w:val="en-US" w:eastAsia="zh-CN" w:bidi="ar-SA"/>
        </w:rPr>
        <w:t>第十五章 其他医保知识</w:t>
      </w:r>
      <w:bookmarkEnd w:id="135"/>
      <w:bookmarkEnd w:id="136"/>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36"/>
          <w:szCs w:val="36"/>
          <w:lang w:val="en-US" w:eastAsia="zh-CN"/>
        </w:rPr>
      </w:pPr>
      <w:r>
        <w:rPr>
          <w:rFonts w:hint="eastAsia" w:asciiTheme="minorEastAsia" w:hAnsiTheme="minorEastAsia" w:eastAsiaTheme="minorEastAsia" w:cstheme="minorEastAsia"/>
          <w:b/>
          <w:color w:val="000000"/>
          <w:kern w:val="0"/>
          <w:sz w:val="36"/>
          <w:szCs w:val="36"/>
          <w:lang w:eastAsia="zh-CN"/>
        </w:rPr>
        <w:t>一、</w:t>
      </w:r>
      <w:r>
        <w:rPr>
          <w:rFonts w:hint="eastAsia" w:asciiTheme="minorEastAsia" w:hAnsiTheme="minorEastAsia" w:eastAsiaTheme="minorEastAsia" w:cstheme="minorEastAsia"/>
          <w:b/>
          <w:color w:val="000000"/>
          <w:kern w:val="0"/>
          <w:sz w:val="36"/>
          <w:szCs w:val="36"/>
        </w:rPr>
        <w:t>报销</w:t>
      </w:r>
      <w:r>
        <w:rPr>
          <w:rFonts w:hint="eastAsia" w:asciiTheme="minorEastAsia" w:hAnsiTheme="minorEastAsia" w:eastAsiaTheme="minorEastAsia" w:cstheme="minorEastAsia"/>
          <w:b/>
          <w:color w:val="000000"/>
          <w:kern w:val="0"/>
          <w:sz w:val="36"/>
          <w:szCs w:val="36"/>
          <w:lang w:val="en-US" w:eastAsia="zh-CN"/>
        </w:rPr>
        <w:t>结算</w:t>
      </w:r>
    </w:p>
    <w:p>
      <w:pPr>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参保人参加医疗保险后，在正常享受待遇期内，持医保卡（或医保电子凭证）进行刷卡（码）即时结算。</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eastAsia="zh-CN"/>
        </w:rPr>
      </w:pPr>
      <w:r>
        <w:rPr>
          <w:rFonts w:hint="eastAsia" w:asciiTheme="minorEastAsia" w:hAnsiTheme="minorEastAsia" w:eastAsiaTheme="minorEastAsia" w:cstheme="minorEastAsia"/>
          <w:b/>
          <w:color w:val="000000"/>
          <w:kern w:val="0"/>
          <w:sz w:val="36"/>
          <w:szCs w:val="36"/>
          <w:lang w:eastAsia="zh-CN"/>
        </w:rPr>
        <w:t>二、居民医保和职工医保住院报销待遇区别</w:t>
      </w:r>
    </w:p>
    <w:p>
      <w:pPr>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rPr>
        <w:t>职工医疗保险和居民医疗保险在参保和筹资上有差别，报销待遇也相应不同。目前</w:t>
      </w:r>
      <w:r>
        <w:rPr>
          <w:rFonts w:hint="eastAsia" w:asciiTheme="minorEastAsia" w:hAnsiTheme="minorEastAsia" w:eastAsiaTheme="minorEastAsia" w:cstheme="minorEastAsia"/>
          <w:color w:val="000000"/>
          <w:kern w:val="0"/>
          <w:sz w:val="28"/>
          <w:szCs w:val="28"/>
          <w:lang w:val="en-US" w:eastAsia="zh-CN"/>
        </w:rPr>
        <w:t>在三级医院滨州市职工医保第一次住院起付线700元，第二次住院350元，第三次取消起付线，纳入统筹1万元以下部分在职85%，退休92.5%；纳入统筹1万元及以上部分在职90%，退休95%；居民医保第一次住院起付线1000元，第二次住院1000元，第三次取消起付线，纳入统筹报销比例60%。</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eastAsia="zh-CN"/>
        </w:rPr>
      </w:pPr>
      <w:r>
        <w:rPr>
          <w:rFonts w:hint="eastAsia" w:asciiTheme="minorEastAsia" w:hAnsiTheme="minorEastAsia" w:eastAsiaTheme="minorEastAsia" w:cstheme="minorEastAsia"/>
          <w:b/>
          <w:color w:val="000000"/>
          <w:kern w:val="0"/>
          <w:sz w:val="36"/>
          <w:szCs w:val="36"/>
          <w:lang w:eastAsia="zh-CN"/>
        </w:rPr>
        <w:t xml:space="preserve">三、起付线和封顶线 </w:t>
      </w:r>
    </w:p>
    <w:p>
      <w:pPr>
        <w:pStyle w:val="14"/>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Theme="minorEastAsia" w:hAnsiTheme="minorEastAsia" w:eastAsiaTheme="minorEastAsia" w:cstheme="minorEastAsia"/>
          <w:color w:val="000000"/>
          <w:kern w:val="0"/>
          <w:sz w:val="28"/>
          <w:szCs w:val="28"/>
          <w:highlight w:val="none"/>
          <w:lang w:val="en-US" w:eastAsia="zh-CN"/>
        </w:rPr>
      </w:pPr>
      <w:r>
        <w:rPr>
          <w:rFonts w:hint="eastAsia" w:asciiTheme="minorEastAsia" w:hAnsiTheme="minorEastAsia" w:eastAsiaTheme="minorEastAsia" w:cstheme="minorEastAsia"/>
          <w:color w:val="000000"/>
          <w:kern w:val="0"/>
          <w:sz w:val="28"/>
          <w:szCs w:val="28"/>
          <w:highlight w:val="none"/>
          <w:lang w:val="en-US" w:eastAsia="zh-CN"/>
        </w:rPr>
        <w:t>起付线指的是医保基金的起付标准。参保人在定点医疗机构发生的政策范围内的医疗费用，自己要先承担起付标准以下的费用，起付标准以上的部分再由医保基金按规定、按比例报销。根据地区、医疗机构、门诊或住院等情况的不同，起付标准也各不相同，从几百元到一千多元不等。一般按自然年度计算。</w:t>
      </w:r>
    </w:p>
    <w:p>
      <w:pPr>
        <w:pStyle w:val="14"/>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Theme="minorEastAsia" w:hAnsiTheme="minorEastAsia" w:eastAsiaTheme="minorEastAsia" w:cstheme="minorEastAsia"/>
          <w:color w:val="000000"/>
          <w:kern w:val="0"/>
          <w:sz w:val="28"/>
          <w:szCs w:val="28"/>
          <w:highlight w:val="none"/>
          <w:lang w:val="en-US" w:eastAsia="zh-CN"/>
        </w:rPr>
      </w:pPr>
      <w:r>
        <w:rPr>
          <w:rFonts w:hint="eastAsia" w:asciiTheme="minorEastAsia" w:hAnsiTheme="minorEastAsia" w:eastAsiaTheme="minorEastAsia" w:cstheme="minorEastAsia"/>
          <w:color w:val="000000"/>
          <w:kern w:val="0"/>
          <w:sz w:val="28"/>
          <w:szCs w:val="28"/>
          <w:highlight w:val="none"/>
          <w:lang w:val="en-US" w:eastAsia="zh-CN"/>
        </w:rPr>
        <w:t>封顶线指的是合规费用的最高支付限额，也就是参保人在一个年度内最高费用报销上限。封顶线以外的医疗费用，参保人可以通过参加补充医疗保险、大病保险、商业医疗保险等办法解决。</w:t>
      </w:r>
    </w:p>
    <w:p>
      <w:pPr>
        <w:pStyle w:val="14"/>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Theme="minorEastAsia" w:hAnsiTheme="minorEastAsia" w:eastAsiaTheme="minorEastAsia" w:cstheme="minorEastAsia"/>
          <w:color w:val="000000"/>
          <w:kern w:val="0"/>
          <w:sz w:val="28"/>
          <w:szCs w:val="28"/>
          <w:highlight w:val="none"/>
          <w:lang w:val="en-US" w:eastAsia="zh-CN"/>
        </w:rPr>
      </w:pPr>
      <w:r>
        <w:rPr>
          <w:rFonts w:hint="eastAsia" w:asciiTheme="minorEastAsia" w:hAnsiTheme="minorEastAsia" w:eastAsiaTheme="minorEastAsia" w:cstheme="minorEastAsia"/>
          <w:color w:val="000000"/>
          <w:kern w:val="0"/>
          <w:sz w:val="28"/>
          <w:szCs w:val="28"/>
          <w:highlight w:val="none"/>
          <w:lang w:val="en-US" w:eastAsia="zh-CN"/>
        </w:rPr>
        <w:t>温馨提示：中医日间患者住院每次都要支付起付线。</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eastAsia="zh-CN"/>
        </w:rPr>
      </w:pPr>
      <w:r>
        <w:rPr>
          <w:rFonts w:hint="eastAsia" w:asciiTheme="minorEastAsia" w:hAnsiTheme="minorEastAsia" w:eastAsiaTheme="minorEastAsia" w:cstheme="minorEastAsia"/>
          <w:b/>
          <w:color w:val="000000"/>
          <w:kern w:val="0"/>
          <w:sz w:val="36"/>
          <w:szCs w:val="36"/>
          <w:lang w:eastAsia="zh-CN"/>
        </w:rPr>
        <w:t>四、甲类药品和乙类药品</w:t>
      </w:r>
    </w:p>
    <w:p>
      <w:pPr>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甲类药品费用可以全额纳入医保报销范围，按照医保规定比例报销。乙类药品费用要按比例个人先承担一部分，余下的药品费用再纳入医保报销范围，按规定比例报销。</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eastAsia="zh-CN"/>
        </w:rPr>
      </w:pPr>
      <w:r>
        <w:rPr>
          <w:rFonts w:hint="eastAsia" w:asciiTheme="minorEastAsia" w:hAnsiTheme="minorEastAsia" w:eastAsiaTheme="minorEastAsia" w:cstheme="minorEastAsia"/>
          <w:b/>
          <w:color w:val="000000"/>
          <w:kern w:val="0"/>
          <w:sz w:val="36"/>
          <w:szCs w:val="36"/>
          <w:lang w:eastAsia="zh-CN"/>
        </w:rPr>
        <w:t>五、住院天数</w:t>
      </w:r>
    </w:p>
    <w:p>
      <w:pPr>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住院天数是医疗机构根据患者病情及医院管理</w:t>
      </w:r>
      <w:r>
        <w:rPr>
          <w:rFonts w:hint="eastAsia" w:asciiTheme="minorEastAsia" w:hAnsiTheme="minorEastAsia" w:eastAsiaTheme="minorEastAsia" w:cstheme="minorEastAsia"/>
          <w:color w:val="000000"/>
          <w:kern w:val="0"/>
          <w:sz w:val="28"/>
          <w:szCs w:val="28"/>
          <w:lang w:val="en-US" w:eastAsia="zh-CN"/>
        </w:rPr>
        <w:t>制度</w:t>
      </w:r>
      <w:r>
        <w:rPr>
          <w:rFonts w:hint="eastAsia" w:asciiTheme="minorEastAsia" w:hAnsiTheme="minorEastAsia" w:eastAsiaTheme="minorEastAsia" w:cstheme="minorEastAsia"/>
          <w:color w:val="000000"/>
          <w:kern w:val="0"/>
          <w:sz w:val="28"/>
          <w:szCs w:val="28"/>
        </w:rPr>
        <w:t>来确定的，没有</w:t>
      </w:r>
      <w:r>
        <w:rPr>
          <w:rFonts w:hint="eastAsia" w:asciiTheme="minorEastAsia" w:hAnsiTheme="minorEastAsia" w:eastAsiaTheme="minorEastAsia" w:cstheme="minorEastAsia"/>
          <w:color w:val="000000"/>
          <w:kern w:val="0"/>
          <w:sz w:val="28"/>
          <w:szCs w:val="28"/>
          <w:lang w:val="en-US" w:eastAsia="zh-CN"/>
        </w:rPr>
        <w:t>硬性</w:t>
      </w:r>
      <w:r>
        <w:rPr>
          <w:rFonts w:hint="eastAsia" w:asciiTheme="minorEastAsia" w:hAnsiTheme="minorEastAsia" w:eastAsiaTheme="minorEastAsia" w:cstheme="minorEastAsia"/>
          <w:color w:val="000000"/>
          <w:kern w:val="0"/>
          <w:sz w:val="28"/>
          <w:szCs w:val="28"/>
        </w:rPr>
        <w:t xml:space="preserve">规定。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eastAsia="zh-CN"/>
        </w:rPr>
        <w:t>六、医保卡</w:t>
      </w:r>
      <w:r>
        <w:rPr>
          <w:rFonts w:hint="eastAsia" w:asciiTheme="minorEastAsia" w:hAnsiTheme="minorEastAsia" w:eastAsiaTheme="minorEastAsia" w:cstheme="minorEastAsia"/>
          <w:b/>
          <w:color w:val="000000"/>
          <w:kern w:val="0"/>
          <w:sz w:val="36"/>
          <w:szCs w:val="36"/>
          <w:lang w:val="en-US" w:eastAsia="zh-CN"/>
        </w:rPr>
        <w:t>使用</w:t>
      </w:r>
    </w:p>
    <w:p>
      <w:pPr>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val="en-US" w:eastAsia="zh-CN"/>
        </w:rPr>
        <w:t>医保卡或医保电子凭证</w:t>
      </w:r>
      <w:r>
        <w:rPr>
          <w:rFonts w:hint="eastAsia" w:asciiTheme="minorEastAsia" w:hAnsiTheme="minorEastAsia" w:eastAsiaTheme="minorEastAsia" w:cstheme="minorEastAsia"/>
          <w:color w:val="000000"/>
          <w:kern w:val="0"/>
          <w:sz w:val="28"/>
          <w:szCs w:val="28"/>
        </w:rPr>
        <w:t>，只能本人就医使用。拿别人的</w:t>
      </w:r>
      <w:r>
        <w:rPr>
          <w:rFonts w:hint="eastAsia" w:asciiTheme="minorEastAsia" w:hAnsiTheme="minorEastAsia" w:eastAsiaTheme="minorEastAsia" w:cstheme="minorEastAsia"/>
          <w:color w:val="000000"/>
          <w:kern w:val="0"/>
          <w:sz w:val="28"/>
          <w:szCs w:val="28"/>
          <w:lang w:val="en-US" w:eastAsia="zh-CN"/>
        </w:rPr>
        <w:t>医保卡或</w:t>
      </w:r>
      <w:r>
        <w:rPr>
          <w:rFonts w:hint="eastAsia" w:asciiTheme="minorEastAsia" w:hAnsiTheme="minorEastAsia" w:eastAsiaTheme="minorEastAsia" w:cstheme="minorEastAsia"/>
          <w:color w:val="000000"/>
          <w:kern w:val="0"/>
          <w:sz w:val="28"/>
          <w:szCs w:val="28"/>
        </w:rPr>
        <w:t>医保电子凭证去就医报销是欺诈骗保行为。一经发现，医保部门可按当地相关规定进行处理。一般来说将追回医保基金，并将参保人纳入失信人员黑名单，影响参保人下一步享受医保待遇，情节严重的还将移交司法部门。</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val="en-US" w:eastAsia="zh-CN"/>
        </w:rPr>
      </w:pPr>
      <w:bookmarkStart w:id="137" w:name="_Toc13469"/>
      <w:r>
        <w:rPr>
          <w:rFonts w:hint="eastAsia" w:asciiTheme="minorEastAsia" w:hAnsiTheme="minorEastAsia" w:eastAsiaTheme="minorEastAsia" w:cstheme="minorEastAsia"/>
          <w:b/>
          <w:color w:val="000000"/>
          <w:kern w:val="0"/>
          <w:sz w:val="36"/>
          <w:szCs w:val="36"/>
          <w:lang w:val="en-US" w:eastAsia="zh-CN"/>
        </w:rPr>
        <w:t>七、耗材报销比例</w:t>
      </w:r>
      <w:bookmarkEnd w:id="137"/>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（一）医用耗材医保支付政策，不再区分国产和进口;</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（二）根据医用耗材实际价格确定医保支付政策:</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1000元(含)以下的，职工、居民医保个人首先自负比例为0%，</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全部纳入统筹，按相应的医保报销比例政策支付;</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1000元以上的，职工医保个人首先自负比例为20%、居民</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医保个人首先自付比例30%，再按相应的医保报销政策支付。</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八、将部分诊疗项目纳入支付范围的政策</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（一）将参保人员心脏、肝、肺移植和心肺联合移植发生的符合基本医疗保险规定的医疗费用（不含器官组织源及其贮存费用）纳入我市职工医疗保险支付范围。</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二）将已纳入门诊慢性病管理的恶性肿瘤患者必要的检查费用纳入职工医疗保险支付范围。一个自然年度内职工医疗保险基金可支付一次PET-CT检查费用，个人首先自负10%后按照职工门诊慢性病有关规定进行报销。</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九、罕见病特殊疗效药品报销政策</w:t>
      </w:r>
    </w:p>
    <w:p>
      <w:pPr>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按照《关于进一步完善我市大病保险制度的通知》要求，将治疗戈谢病、庞贝氏病和法布雷病等三种罕见病特殊疗效药品纳入大病保险保障范围。山东省立医院、山东大学齐鲁医院、济南市儿童医院、青岛大学附属医院、临沂市人民医院、聊城市人民医院6家医院作为指定诊断医院。滨州市人民医院为滨州市定点治疗医院。内分泌科陈贵言主任医师、神经内科王忠功、血液内科孙明东主任医师作为戈谢病、庞贝氏病、法布雷病三种罕见病定点科室和定点医师。责任医师合理施治、合理用药，在患者病历上详细记录病情、开药时间和剂量等信息。定点治疗医院要及时配备药品，保障药品供应。</w:t>
      </w:r>
    </w:p>
    <w:p>
      <w:pPr>
        <w:pStyle w:val="9"/>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kern w:val="0"/>
          <w:sz w:val="36"/>
          <w:szCs w:val="36"/>
          <w:lang w:val="en-US" w:eastAsia="zh-CN" w:bidi="ar-SA"/>
        </w:rPr>
      </w:pPr>
      <w:r>
        <w:rPr>
          <w:rFonts w:hint="eastAsia" w:asciiTheme="minorEastAsia" w:hAnsiTheme="minorEastAsia" w:eastAsiaTheme="minorEastAsia" w:cstheme="minorEastAsia"/>
          <w:b/>
          <w:color w:val="000000"/>
          <w:kern w:val="0"/>
          <w:sz w:val="36"/>
          <w:szCs w:val="36"/>
          <w:lang w:val="en-US" w:eastAsia="zh-CN" w:bidi="ar-SA"/>
        </w:rPr>
        <w:t>十、急诊转住院</w:t>
      </w:r>
    </w:p>
    <w:p>
      <w:pPr>
        <w:pStyle w:val="9"/>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医保规定：患者因突发疾病住院治疗的，其急诊费用可纳入医保支付范围。</w:t>
      </w:r>
    </w:p>
    <w:p>
      <w:pPr>
        <w:pStyle w:val="9"/>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kern w:val="0"/>
          <w:sz w:val="36"/>
          <w:szCs w:val="36"/>
          <w:lang w:val="en-US" w:eastAsia="zh-CN" w:bidi="ar-SA"/>
        </w:rPr>
      </w:pPr>
      <w:r>
        <w:rPr>
          <w:rFonts w:hint="eastAsia" w:asciiTheme="minorEastAsia" w:hAnsiTheme="minorEastAsia" w:eastAsiaTheme="minorEastAsia" w:cstheme="minorEastAsia"/>
          <w:b/>
          <w:color w:val="000000"/>
          <w:kern w:val="0"/>
          <w:sz w:val="36"/>
          <w:szCs w:val="36"/>
          <w:lang w:val="en-US" w:eastAsia="zh-CN" w:bidi="ar-SA"/>
        </w:rPr>
        <w:t>十一、居民生育政策</w:t>
      </w:r>
    </w:p>
    <w:p>
      <w:pPr>
        <w:pStyle w:val="9"/>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pacing w:val="8"/>
          <w:sz w:val="23"/>
          <w:szCs w:val="23"/>
          <w:lang w:val="en-US" w:eastAsia="zh-CN"/>
        </w:rPr>
        <w:sectPr>
          <w:headerReference r:id="rId10" w:type="default"/>
          <w:footerReference r:id="rId11" w:type="default"/>
          <w:pgSz w:w="11907" w:h="16839"/>
          <w:pgMar w:top="1417" w:right="1417" w:bottom="1417" w:left="1417" w:header="0" w:footer="0" w:gutter="0"/>
          <w:pgNumType w:fmt="decimal"/>
          <w:cols w:space="720" w:num="1"/>
        </w:sectPr>
      </w:pPr>
      <w:r>
        <w:rPr>
          <w:rFonts w:hint="eastAsia" w:asciiTheme="minorEastAsia" w:hAnsiTheme="minorEastAsia" w:eastAsiaTheme="minorEastAsia" w:cstheme="minorEastAsia"/>
          <w:color w:val="000000"/>
          <w:kern w:val="0"/>
          <w:sz w:val="28"/>
          <w:szCs w:val="28"/>
          <w:lang w:val="en-US" w:eastAsia="zh-CN"/>
        </w:rPr>
        <w:t>三级定点医疗机构居民住院分娩（顺产、剖宫产），一、二孩定额报销1500元，三孩定额报销3000元。</w:t>
      </w:r>
    </w:p>
    <w:p>
      <w:pPr>
        <w:pStyle w:val="9"/>
        <w:pageBreakBefore w:val="0"/>
        <w:numPr>
          <w:ilvl w:val="0"/>
          <w:numId w:val="0"/>
        </w:numPr>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p>
    <w:p>
      <w:pPr>
        <w:pStyle w:val="2"/>
        <w:spacing w:before="0" w:after="0" w:line="240" w:lineRule="auto"/>
        <w:jc w:val="center"/>
        <w:outlineLvl w:val="0"/>
        <w:rPr>
          <w:rFonts w:hint="eastAsia" w:asciiTheme="majorEastAsia" w:hAnsiTheme="majorEastAsia" w:eastAsiaTheme="majorEastAsia" w:cstheme="majorEastAsia"/>
          <w:sz w:val="48"/>
          <w:szCs w:val="48"/>
          <w:lang w:val="en-US" w:eastAsia="zh-CN"/>
        </w:rPr>
      </w:pPr>
      <w:bookmarkStart w:id="138" w:name="_Toc26822"/>
      <w:r>
        <w:rPr>
          <w:rFonts w:hint="eastAsia" w:asciiTheme="majorEastAsia" w:hAnsiTheme="majorEastAsia" w:eastAsiaTheme="majorEastAsia" w:cstheme="majorEastAsia"/>
          <w:sz w:val="48"/>
          <w:szCs w:val="48"/>
          <w:lang w:val="en-US" w:eastAsia="zh-CN"/>
        </w:rPr>
        <w:t>第二部分 异地医保政策</w:t>
      </w:r>
      <w:bookmarkEnd w:id="138"/>
    </w:p>
    <w:p>
      <w:pPr>
        <w:jc w:val="center"/>
        <w:rPr>
          <w:rFonts w:hint="default"/>
          <w:lang w:val="en-US" w:eastAsia="zh-CN"/>
        </w:rPr>
      </w:pPr>
    </w:p>
    <w:p>
      <w:pPr>
        <w:pStyle w:val="2"/>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139" w:name="_Toc2044"/>
      <w:r>
        <w:rPr>
          <w:rFonts w:hint="eastAsia" w:asciiTheme="majorEastAsia" w:hAnsiTheme="majorEastAsia" w:eastAsiaTheme="majorEastAsia" w:cstheme="majorEastAsia"/>
          <w:sz w:val="44"/>
          <w:szCs w:val="44"/>
          <w:lang w:val="en-US" w:eastAsia="zh-CN"/>
        </w:rPr>
        <w:t>第十六章 油田职工政策</w:t>
      </w:r>
      <w:bookmarkEnd w:id="113"/>
      <w:bookmarkEnd w:id="13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一、普通门诊起付标准</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000000"/>
          <w:spacing w:val="0"/>
          <w:kern w:val="0"/>
          <w:sz w:val="28"/>
          <w:szCs w:val="28"/>
        </w:rPr>
      </w:pPr>
      <w:r>
        <w:rPr>
          <w:rFonts w:hint="eastAsia" w:asciiTheme="minorEastAsia" w:hAnsiTheme="minorEastAsia" w:eastAsiaTheme="minorEastAsia" w:cstheme="minorEastAsia"/>
          <w:color w:val="000000"/>
          <w:spacing w:val="0"/>
          <w:kern w:val="0"/>
          <w:sz w:val="28"/>
          <w:szCs w:val="28"/>
        </w:rPr>
        <w:t>三级医院80</w:t>
      </w:r>
      <w:r>
        <w:rPr>
          <w:rFonts w:hint="eastAsia" w:asciiTheme="minorEastAsia" w:hAnsiTheme="minorEastAsia" w:eastAsiaTheme="minorEastAsia" w:cstheme="minorEastAsia"/>
          <w:color w:val="000000"/>
          <w:spacing w:val="0"/>
          <w:kern w:val="0"/>
          <w:sz w:val="28"/>
          <w:szCs w:val="28"/>
          <w:lang w:val="en-US" w:eastAsia="zh-CN"/>
        </w:rPr>
        <w:t>0</w:t>
      </w:r>
      <w:r>
        <w:rPr>
          <w:rFonts w:hint="eastAsia" w:asciiTheme="minorEastAsia" w:hAnsiTheme="minorEastAsia" w:eastAsiaTheme="minorEastAsia" w:cstheme="minorEastAsia"/>
          <w:color w:val="000000"/>
          <w:spacing w:val="0"/>
          <w:kern w:val="0"/>
          <w:sz w:val="28"/>
          <w:szCs w:val="28"/>
        </w:rPr>
        <w:t>元</w:t>
      </w:r>
      <w:r>
        <w:rPr>
          <w:rFonts w:hint="eastAsia" w:asciiTheme="minorEastAsia" w:hAnsiTheme="minorEastAsia" w:eastAsiaTheme="minorEastAsia" w:cstheme="minorEastAsia"/>
          <w:color w:val="000000"/>
          <w:spacing w:val="0"/>
          <w:kern w:val="0"/>
          <w:sz w:val="28"/>
          <w:szCs w:val="28"/>
          <w:lang w:val="en-US" w:eastAsia="zh-CN"/>
        </w:rPr>
        <w:t>、</w:t>
      </w:r>
      <w:r>
        <w:rPr>
          <w:rFonts w:hint="eastAsia" w:asciiTheme="minorEastAsia" w:hAnsiTheme="minorEastAsia" w:eastAsiaTheme="minorEastAsia" w:cstheme="minorEastAsia"/>
          <w:color w:val="000000"/>
          <w:spacing w:val="0"/>
          <w:kern w:val="0"/>
          <w:sz w:val="28"/>
          <w:szCs w:val="28"/>
        </w:rPr>
        <w:t>二级及以下医疗机构200元</w:t>
      </w:r>
      <w:r>
        <w:rPr>
          <w:rFonts w:hint="eastAsia" w:asciiTheme="minorEastAsia" w:hAnsiTheme="minorEastAsia" w:eastAsiaTheme="minorEastAsia" w:cstheme="minorEastAsia"/>
          <w:color w:val="000000"/>
          <w:spacing w:val="0"/>
          <w:kern w:val="0"/>
          <w:sz w:val="28"/>
          <w:szCs w:val="28"/>
          <w:lang w:eastAsia="zh-CN"/>
        </w:rPr>
        <w:t>，</w:t>
      </w:r>
      <w:r>
        <w:rPr>
          <w:rFonts w:hint="eastAsia" w:asciiTheme="minorEastAsia" w:hAnsiTheme="minorEastAsia" w:eastAsiaTheme="minorEastAsia" w:cstheme="minorEastAsia"/>
          <w:color w:val="000000"/>
          <w:spacing w:val="0"/>
          <w:kern w:val="0"/>
          <w:sz w:val="28"/>
          <w:szCs w:val="28"/>
        </w:rPr>
        <w:t>不同级别医疗机构起付标准累计计算</w:t>
      </w:r>
      <w:r>
        <w:rPr>
          <w:rFonts w:hint="eastAsia" w:asciiTheme="minorEastAsia" w:hAnsiTheme="minorEastAsia" w:eastAsiaTheme="minorEastAsia" w:cstheme="minorEastAsia"/>
          <w:color w:val="000000"/>
          <w:spacing w:val="0"/>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二、门诊医保定点医疗机构数量</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000000"/>
          <w:spacing w:val="0"/>
          <w:kern w:val="0"/>
          <w:sz w:val="28"/>
          <w:szCs w:val="28"/>
        </w:rPr>
      </w:pPr>
      <w:r>
        <w:rPr>
          <w:rFonts w:hint="eastAsia" w:asciiTheme="minorEastAsia" w:hAnsiTheme="minorEastAsia" w:eastAsiaTheme="minorEastAsia" w:cstheme="minorEastAsia"/>
          <w:color w:val="000000"/>
          <w:spacing w:val="0"/>
          <w:kern w:val="0"/>
          <w:sz w:val="28"/>
          <w:szCs w:val="28"/>
        </w:rPr>
        <w:t>取消普通门诊医保定点医疗机构就医数量限制。参保人员可在油田门诊统筹定点医疗机构范围内，根据病情需要自主选择医疗机构就诊。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三、住院起付线和报销比例</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一个年度内住院起付线</w:t>
      </w:r>
      <w:r>
        <w:rPr>
          <w:rFonts w:hint="eastAsia" w:asciiTheme="minorEastAsia" w:hAnsiTheme="minorEastAsia" w:eastAsiaTheme="minorEastAsia" w:cstheme="minorEastAsia"/>
          <w:color w:val="000000"/>
          <w:spacing w:val="0"/>
          <w:kern w:val="0"/>
          <w:sz w:val="28"/>
          <w:szCs w:val="28"/>
        </w:rPr>
        <w:t>三级医院</w:t>
      </w:r>
      <w:r>
        <w:rPr>
          <w:rFonts w:hint="eastAsia" w:asciiTheme="minorEastAsia" w:hAnsiTheme="minorEastAsia" w:eastAsiaTheme="minorEastAsia" w:cstheme="minorEastAsia"/>
          <w:color w:val="000000"/>
          <w:spacing w:val="0"/>
          <w:kern w:val="0"/>
          <w:sz w:val="28"/>
          <w:szCs w:val="28"/>
          <w:lang w:val="en-US" w:eastAsia="zh-CN"/>
        </w:rPr>
        <w:t>1000</w:t>
      </w:r>
      <w:r>
        <w:rPr>
          <w:rFonts w:hint="eastAsia" w:asciiTheme="minorEastAsia" w:hAnsiTheme="minorEastAsia" w:eastAsiaTheme="minorEastAsia" w:cstheme="minorEastAsia"/>
          <w:color w:val="000000"/>
          <w:spacing w:val="0"/>
          <w:kern w:val="0"/>
          <w:sz w:val="28"/>
          <w:szCs w:val="28"/>
        </w:rPr>
        <w:t>元</w:t>
      </w:r>
      <w:r>
        <w:rPr>
          <w:rFonts w:hint="eastAsia" w:asciiTheme="minorEastAsia" w:hAnsiTheme="minorEastAsia" w:eastAsiaTheme="minorEastAsia" w:cstheme="minorEastAsia"/>
          <w:color w:val="000000"/>
          <w:spacing w:val="0"/>
          <w:kern w:val="0"/>
          <w:sz w:val="28"/>
          <w:szCs w:val="28"/>
          <w:lang w:val="en-US" w:eastAsia="zh-CN"/>
        </w:rPr>
        <w:t>、</w:t>
      </w:r>
      <w:r>
        <w:rPr>
          <w:rFonts w:hint="eastAsia" w:asciiTheme="minorEastAsia" w:hAnsiTheme="minorEastAsia" w:eastAsiaTheme="minorEastAsia" w:cstheme="minorEastAsia"/>
          <w:color w:val="000000"/>
          <w:spacing w:val="0"/>
          <w:kern w:val="0"/>
          <w:sz w:val="28"/>
          <w:szCs w:val="28"/>
        </w:rPr>
        <w:t xml:space="preserve"> 二级及以下医疗机构</w:t>
      </w:r>
      <w:r>
        <w:rPr>
          <w:rFonts w:hint="eastAsia" w:asciiTheme="minorEastAsia" w:hAnsiTheme="minorEastAsia" w:eastAsiaTheme="minorEastAsia" w:cstheme="minorEastAsia"/>
          <w:color w:val="000000"/>
          <w:spacing w:val="0"/>
          <w:kern w:val="0"/>
          <w:sz w:val="28"/>
          <w:szCs w:val="28"/>
          <w:lang w:val="en-US" w:eastAsia="zh-CN"/>
        </w:rPr>
        <w:t>800</w:t>
      </w:r>
      <w:r>
        <w:rPr>
          <w:rFonts w:hint="eastAsia" w:asciiTheme="minorEastAsia" w:hAnsiTheme="minorEastAsia" w:eastAsiaTheme="minorEastAsia" w:cstheme="minorEastAsia"/>
          <w:color w:val="000000"/>
          <w:spacing w:val="0"/>
          <w:kern w:val="0"/>
          <w:sz w:val="28"/>
          <w:szCs w:val="28"/>
        </w:rPr>
        <w:t>元</w:t>
      </w:r>
      <w:r>
        <w:rPr>
          <w:rFonts w:hint="eastAsia" w:asciiTheme="minorEastAsia" w:hAnsiTheme="minorEastAsia" w:eastAsiaTheme="minorEastAsia" w:cstheme="minorEastAsia"/>
          <w:color w:val="000000"/>
          <w:spacing w:val="0"/>
          <w:kern w:val="0"/>
          <w:sz w:val="28"/>
          <w:szCs w:val="28"/>
          <w:lang w:eastAsia="zh-CN"/>
        </w:rPr>
        <w:t>，</w:t>
      </w:r>
      <w:r>
        <w:rPr>
          <w:rFonts w:hint="eastAsia" w:asciiTheme="minorEastAsia" w:hAnsiTheme="minorEastAsia" w:eastAsiaTheme="minorEastAsia" w:cstheme="minorEastAsia"/>
          <w:color w:val="000000"/>
          <w:spacing w:val="0"/>
          <w:kern w:val="0"/>
          <w:sz w:val="28"/>
          <w:szCs w:val="28"/>
          <w:lang w:val="en-US" w:eastAsia="zh-CN"/>
        </w:rPr>
        <w:t>第二次减半，第三次取消起付线。在职职工报销比例85%，退休职工报销比例90%。油田医保系统设置分档报销比例，具体以结算单为准。</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四、住院床位费医保支付标准</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rPr>
        <w:t>参保人员住院（含</w:t>
      </w:r>
      <w:r>
        <w:rPr>
          <w:rFonts w:hint="eastAsia" w:asciiTheme="minorEastAsia" w:hAnsiTheme="minorEastAsia" w:eastAsiaTheme="minorEastAsia" w:cstheme="minorEastAsia"/>
          <w:color w:val="000000"/>
          <w:spacing w:val="0"/>
          <w:kern w:val="0"/>
          <w:sz w:val="28"/>
          <w:szCs w:val="28"/>
          <w:lang w:val="en-US" w:eastAsia="zh-CN"/>
        </w:rPr>
        <w:t>急</w:t>
      </w:r>
      <w:r>
        <w:rPr>
          <w:rFonts w:hint="eastAsia" w:asciiTheme="minorEastAsia" w:hAnsiTheme="minorEastAsia" w:eastAsiaTheme="minorEastAsia" w:cstheme="minorEastAsia"/>
          <w:color w:val="000000"/>
          <w:spacing w:val="0"/>
          <w:kern w:val="0"/>
          <w:sz w:val="28"/>
          <w:szCs w:val="28"/>
        </w:rPr>
        <w:t>诊</w:t>
      </w:r>
      <w:r>
        <w:rPr>
          <w:rFonts w:hint="eastAsia" w:asciiTheme="minorEastAsia" w:hAnsiTheme="minorEastAsia" w:eastAsiaTheme="minorEastAsia" w:cstheme="minorEastAsia"/>
          <w:color w:val="000000"/>
          <w:spacing w:val="0"/>
          <w:kern w:val="0"/>
          <w:sz w:val="28"/>
          <w:szCs w:val="28"/>
          <w:lang w:val="en-US" w:eastAsia="zh-CN"/>
        </w:rPr>
        <w:t>留</w:t>
      </w:r>
      <w:r>
        <w:rPr>
          <w:rFonts w:hint="eastAsia" w:asciiTheme="minorEastAsia" w:hAnsiTheme="minorEastAsia" w:eastAsiaTheme="minorEastAsia" w:cstheme="minorEastAsia"/>
          <w:color w:val="000000"/>
          <w:spacing w:val="0"/>
          <w:kern w:val="0"/>
          <w:sz w:val="28"/>
          <w:szCs w:val="28"/>
        </w:rPr>
        <w:t>观）床位费基本医保支付标准提高到60 元／日， 收费标准超过医保支付标准的费用，基本医疗保险基金不予支付，收费标准低于医保支付标准的，以实际收费标准进行医保结算</w:t>
      </w:r>
      <w:r>
        <w:rPr>
          <w:rFonts w:hint="eastAsia" w:asciiTheme="minorEastAsia" w:hAnsiTheme="minorEastAsia" w:eastAsiaTheme="minorEastAsia" w:cstheme="minorEastAsia"/>
          <w:color w:val="000000"/>
          <w:spacing w:val="0"/>
          <w:kern w:val="0"/>
          <w:sz w:val="28"/>
          <w:szCs w:val="28"/>
          <w:lang w:eastAsia="zh-CN"/>
        </w:rPr>
        <w:t>。</w:t>
      </w:r>
      <w:r>
        <w:rPr>
          <w:rFonts w:hint="eastAsia" w:asciiTheme="minorEastAsia" w:hAnsiTheme="minorEastAsia" w:eastAsiaTheme="minorEastAsia" w:cstheme="minorEastAsia"/>
          <w:color w:val="000000"/>
          <w:spacing w:val="0"/>
          <w:kern w:val="0"/>
          <w:sz w:val="28"/>
          <w:szCs w:val="28"/>
          <w:lang w:val="en-US" w:eastAsia="zh-CN"/>
        </w:rPr>
        <w:t>油田职工单人间床位费全额自费。</w:t>
      </w:r>
    </w:p>
    <w:p>
      <w:pPr>
        <w:pStyle w:val="14"/>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textAlignment w:val="auto"/>
        <w:rPr>
          <w:rStyle w:val="18"/>
          <w:rFonts w:hint="eastAsia" w:asciiTheme="majorEastAsia" w:hAnsiTheme="majorEastAsia" w:eastAsiaTheme="majorEastAsia" w:cstheme="majorEastAsia"/>
          <w:color w:val="000000"/>
          <w:spacing w:val="0"/>
          <w:sz w:val="44"/>
          <w:szCs w:val="44"/>
          <w:lang w:val="en-US" w:eastAsia="zh-CN"/>
        </w:rPr>
      </w:pPr>
    </w:p>
    <w:p>
      <w:pPr>
        <w:pStyle w:val="2"/>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1"/>
        <w:rPr>
          <w:rFonts w:hint="eastAsia" w:asciiTheme="majorEastAsia" w:hAnsiTheme="majorEastAsia" w:eastAsiaTheme="majorEastAsia" w:cstheme="majorEastAsia"/>
          <w:sz w:val="44"/>
          <w:szCs w:val="44"/>
          <w:lang w:val="en-US" w:eastAsia="zh-CN"/>
        </w:rPr>
      </w:pPr>
      <w:bookmarkStart w:id="140" w:name="_Toc19764"/>
      <w:bookmarkStart w:id="141" w:name="_Toc28638"/>
      <w:r>
        <w:rPr>
          <w:rFonts w:hint="eastAsia" w:asciiTheme="majorEastAsia" w:hAnsiTheme="majorEastAsia" w:eastAsiaTheme="majorEastAsia" w:cstheme="majorEastAsia"/>
          <w:sz w:val="44"/>
          <w:szCs w:val="44"/>
          <w:lang w:val="en-US" w:eastAsia="zh-CN"/>
        </w:rPr>
        <w:t>第十七章 淄博医保政策</w:t>
      </w:r>
      <w:bookmarkEnd w:id="140"/>
      <w:bookmarkEnd w:id="141"/>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一、职工门诊统筹</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 xml:space="preserve"> 淄博市职工2024年门诊统筹待遇标准</w:t>
      </w:r>
    </w:p>
    <w:tbl>
      <w:tblPr>
        <w:tblStyle w:val="15"/>
        <w:tblW w:w="975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67"/>
        <w:gridCol w:w="1390"/>
        <w:gridCol w:w="1020"/>
        <w:gridCol w:w="1254"/>
        <w:gridCol w:w="1194"/>
        <w:gridCol w:w="1194"/>
        <w:gridCol w:w="1073"/>
        <w:gridCol w:w="1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定点机构级别</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起付线（元）</w:t>
            </w:r>
          </w:p>
        </w:tc>
        <w:tc>
          <w:tcPr>
            <w:tcW w:w="3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在职人员</w:t>
            </w:r>
          </w:p>
        </w:tc>
        <w:tc>
          <w:tcPr>
            <w:tcW w:w="33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退休人员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报销比例</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职工基本医保支付限额</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职工大额医疗费支付限额</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报销比例</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职工基本医保支付限额</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职工大额</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医疗费支</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付限额</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一级及以下</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3500</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0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10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bl>
    <w:p>
      <w:pPr>
        <w:pStyle w:val="14"/>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Theme="minorEastAsia" w:hAnsiTheme="minorEastAsia" w:eastAsiaTheme="minorEastAsia" w:cstheme="minorEastAsia"/>
          <w:b/>
          <w:color w:val="000000"/>
          <w:kern w:val="0"/>
          <w:sz w:val="36"/>
          <w:szCs w:val="36"/>
          <w:lang w:val="en-US" w:eastAsia="zh-CN" w:bidi="ar-SA"/>
        </w:rPr>
      </w:pPr>
      <w:r>
        <w:rPr>
          <w:rFonts w:hint="eastAsia" w:asciiTheme="minorEastAsia" w:hAnsiTheme="minorEastAsia" w:eastAsiaTheme="minorEastAsia" w:cstheme="minorEastAsia"/>
          <w:b/>
          <w:color w:val="000000"/>
          <w:kern w:val="0"/>
          <w:sz w:val="36"/>
          <w:szCs w:val="36"/>
          <w:lang w:val="en-US" w:eastAsia="zh-CN" w:bidi="ar-SA"/>
        </w:rPr>
        <w:t>二、职工门诊慢特病</w:t>
      </w:r>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Theme="minorEastAsia" w:hAnsiTheme="minorEastAsia" w:eastAsiaTheme="minorEastAsia" w:cstheme="minorEastAsia"/>
          <w:color w:val="000000"/>
          <w:spacing w:val="0"/>
          <w:kern w:val="0"/>
          <w:sz w:val="28"/>
          <w:szCs w:val="28"/>
          <w:lang w:val="en-US" w:eastAsia="zh-CN"/>
        </w:rPr>
      </w:pPr>
      <w:r>
        <w:rPr>
          <w:rFonts w:hint="eastAsia" w:asciiTheme="minorEastAsia" w:hAnsiTheme="minorEastAsia" w:eastAsiaTheme="minorEastAsia" w:cstheme="minorEastAsia"/>
          <w:color w:val="000000"/>
          <w:spacing w:val="0"/>
          <w:kern w:val="0"/>
          <w:sz w:val="28"/>
          <w:szCs w:val="28"/>
          <w:lang w:val="en-US" w:eastAsia="zh-CN"/>
        </w:rPr>
        <w:t>起付标准为1000元，与住院起付标准分别计算，在职职工报销比例为70%，恶性肿瘤报销比例为75%;退休人员报销比例为80%,恶性肿瘤报销比例为85%。</w:t>
      </w:r>
    </w:p>
    <w:p>
      <w:pPr>
        <w:pStyle w:val="14"/>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rightChars="0"/>
        <w:textAlignment w:val="auto"/>
        <w:rPr>
          <w:rFonts w:hint="eastAsia" w:asciiTheme="minorEastAsia" w:hAnsiTheme="minorEastAsia" w:eastAsiaTheme="minorEastAsia" w:cstheme="minorEastAsia"/>
          <w:b/>
          <w:color w:val="000000"/>
          <w:kern w:val="0"/>
          <w:sz w:val="36"/>
          <w:szCs w:val="36"/>
          <w:lang w:val="en-US" w:eastAsia="zh-CN" w:bidi="ar-SA"/>
        </w:rPr>
      </w:pPr>
      <w:r>
        <w:rPr>
          <w:rFonts w:hint="eastAsia" w:asciiTheme="minorEastAsia" w:hAnsiTheme="minorEastAsia" w:eastAsiaTheme="minorEastAsia" w:cstheme="minorEastAsia"/>
          <w:b/>
          <w:color w:val="000000"/>
          <w:kern w:val="0"/>
          <w:sz w:val="36"/>
          <w:szCs w:val="36"/>
          <w:lang w:val="en-US" w:eastAsia="zh-CN" w:bidi="ar-SA"/>
        </w:rPr>
        <w:t>三、职工住院政策</w:t>
      </w:r>
    </w:p>
    <w:p>
      <w:pPr>
        <w:pStyle w:val="14"/>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left="400" w:leftChars="0" w:right="0" w:rightChars="0"/>
        <w:jc w:val="center"/>
        <w:textAlignment w:val="auto"/>
        <w:rPr>
          <w:rFonts w:hint="default" w:asciiTheme="minorEastAsia" w:hAnsiTheme="minorEastAsia" w:eastAsiaTheme="minorEastAsia" w:cstheme="minorEastAsia"/>
          <w:b/>
          <w:color w:val="000000"/>
          <w:kern w:val="0"/>
          <w:sz w:val="36"/>
          <w:szCs w:val="36"/>
          <w:lang w:val="en-US" w:eastAsia="zh-CN" w:bidi="ar-SA"/>
        </w:rPr>
      </w:pPr>
      <w:r>
        <w:rPr>
          <w:rFonts w:hint="eastAsia" w:ascii="黑体" w:hAnsi="黑体" w:eastAsia="黑体" w:cs="黑体"/>
          <w:color w:val="auto"/>
          <w:sz w:val="32"/>
          <w:szCs w:val="32"/>
          <w:lang w:val="en-US" w:eastAsia="zh-CN"/>
        </w:rPr>
        <w:t>淄博市职工2024年住院待遇标准</w:t>
      </w:r>
    </w:p>
    <w:tbl>
      <w:tblPr>
        <w:tblStyle w:val="15"/>
        <w:tblW w:w="9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289"/>
        <w:gridCol w:w="982"/>
        <w:gridCol w:w="888"/>
        <w:gridCol w:w="888"/>
        <w:gridCol w:w="970"/>
        <w:gridCol w:w="888"/>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atLeast"/>
        </w:trPr>
        <w:tc>
          <w:tcPr>
            <w:tcW w:w="4289" w:type="dxa"/>
            <w:vMerge w:val="restart"/>
            <w:vAlign w:val="center"/>
          </w:tcPr>
          <w:p>
            <w:pPr>
              <w:spacing w:line="320" w:lineRule="exact"/>
              <w:ind w:firstLine="2200" w:firstLineChars="1100"/>
              <w:jc w:val="left"/>
              <w:rPr>
                <w:rFonts w:hint="default" w:ascii="宋体" w:hAnsi="宋体" w:eastAsia="宋体"/>
                <w:color w:val="000000"/>
                <w:sz w:val="20"/>
                <w:szCs w:val="20"/>
                <w:lang w:val="en-US" w:eastAsia="zh-CN"/>
              </w:rPr>
            </w:pPr>
            <w:bookmarkStart w:id="142" w:name="OLE_LINK1"/>
            <w:r>
              <w:rPr>
                <w:rFonts w:ascii="等线" w:hAnsi="等线" w:eastAsia="等线" w:cs="黑体"/>
                <w:kern w:val="2"/>
                <w:sz w:val="20"/>
                <w:szCs w:val="20"/>
                <w:lang w:val="en-US" w:eastAsia="zh-CN" w:bidi="ar-SA"/>
              </w:rPr>
              <w:pict>
                <v:line id="直接连接符 2" o:spid="_x0000_s1043" o:spt="20" style="position:absolute;left:0pt;margin-left:2.1pt;margin-top:2.2pt;height:48pt;width:209.25pt;z-index:251662336;mso-width-relative:page;mso-height-relative:page;" filled="f" stroked="t" coordsize="21600,21600">
                  <v:path arrowok="t"/>
                  <v:fill on="f" focussize="0,0"/>
                  <v:stroke weight="1pt" color="#BFBFBF"/>
                  <v:imagedata o:title=""/>
                  <o:lock v:ext="edit" aspectratio="f"/>
                </v:line>
              </w:pict>
            </w:r>
            <w:r>
              <w:rPr>
                <w:rFonts w:hint="eastAsia" w:cs="黑体"/>
                <w:kern w:val="2"/>
                <w:sz w:val="20"/>
                <w:szCs w:val="20"/>
                <w:lang w:val="en-US" w:eastAsia="zh-CN" w:bidi="ar-SA"/>
              </w:rPr>
              <w:t xml:space="preserve">  </w:t>
            </w:r>
            <w:r>
              <w:rPr>
                <w:rFonts w:hint="eastAsia" w:ascii="宋体" w:hAnsi="宋体" w:eastAsia="宋体"/>
                <w:color w:val="000000"/>
                <w:sz w:val="20"/>
                <w:szCs w:val="20"/>
              </w:rPr>
              <w:t>住</w:t>
            </w:r>
            <w:r>
              <w:rPr>
                <w:rFonts w:hint="eastAsia" w:ascii="宋体" w:hAnsi="宋体" w:eastAsia="宋体"/>
                <w:color w:val="000000"/>
                <w:sz w:val="20"/>
                <w:szCs w:val="20"/>
                <w:lang w:val="en-US" w:eastAsia="zh-CN"/>
              </w:rPr>
              <w:t>院级别</w:t>
            </w:r>
          </w:p>
          <w:p>
            <w:pPr>
              <w:spacing w:line="320" w:lineRule="exact"/>
              <w:ind w:firstLine="400" w:firstLineChars="200"/>
              <w:jc w:val="left"/>
              <w:rPr>
                <w:rFonts w:hint="eastAsia" w:ascii="宋体" w:hAnsi="宋体" w:eastAsia="宋体"/>
                <w:color w:val="000000"/>
                <w:sz w:val="20"/>
                <w:szCs w:val="20"/>
                <w:lang w:val="en-US" w:eastAsia="zh-CN"/>
              </w:rPr>
            </w:pPr>
          </w:p>
          <w:p>
            <w:pPr>
              <w:spacing w:line="320" w:lineRule="exact"/>
              <w:ind w:firstLine="800" w:firstLineChars="400"/>
              <w:jc w:val="left"/>
              <w:rPr>
                <w:rFonts w:hint="eastAsia" w:ascii="宋体" w:hAnsi="宋体" w:eastAsia="宋体"/>
                <w:color w:val="000000"/>
                <w:sz w:val="20"/>
                <w:szCs w:val="20"/>
                <w:lang w:val="en-US" w:eastAsia="zh-CN"/>
              </w:rPr>
            </w:pPr>
            <w:r>
              <w:rPr>
                <w:rFonts w:hint="eastAsia" w:ascii="宋体" w:hAnsi="宋体" w:eastAsia="宋体"/>
                <w:color w:val="000000"/>
                <w:sz w:val="20"/>
                <w:szCs w:val="20"/>
                <w:lang w:val="en-US" w:eastAsia="zh-CN"/>
              </w:rPr>
              <w:t>报销比例</w:t>
            </w:r>
          </w:p>
        </w:tc>
        <w:tc>
          <w:tcPr>
            <w:tcW w:w="1870" w:type="dxa"/>
            <w:gridSpan w:val="2"/>
            <w:vAlign w:val="center"/>
          </w:tcPr>
          <w:p>
            <w:pPr>
              <w:spacing w:line="497" w:lineRule="exact"/>
              <w:jc w:val="center"/>
              <w:rPr>
                <w:sz w:val="20"/>
                <w:szCs w:val="20"/>
              </w:rPr>
            </w:pPr>
            <w:r>
              <w:rPr>
                <w:rFonts w:hint="eastAsia" w:ascii="宋体" w:hAnsi="宋体" w:eastAsia="宋体"/>
                <w:color w:val="000000"/>
                <w:sz w:val="20"/>
                <w:szCs w:val="20"/>
              </w:rPr>
              <w:t>一级医院</w:t>
            </w:r>
          </w:p>
        </w:tc>
        <w:tc>
          <w:tcPr>
            <w:tcW w:w="1858" w:type="dxa"/>
            <w:gridSpan w:val="2"/>
            <w:vAlign w:val="center"/>
          </w:tcPr>
          <w:p>
            <w:pPr>
              <w:spacing w:line="470" w:lineRule="exact"/>
              <w:jc w:val="center"/>
              <w:rPr>
                <w:sz w:val="20"/>
                <w:szCs w:val="20"/>
              </w:rPr>
            </w:pPr>
            <w:r>
              <w:rPr>
                <w:rFonts w:hint="eastAsia" w:ascii="宋体" w:hAnsi="宋体" w:eastAsia="宋体"/>
                <w:color w:val="000000"/>
                <w:sz w:val="20"/>
                <w:szCs w:val="20"/>
              </w:rPr>
              <w:t>二级医院</w:t>
            </w:r>
          </w:p>
        </w:tc>
        <w:tc>
          <w:tcPr>
            <w:tcW w:w="1641" w:type="dxa"/>
            <w:gridSpan w:val="2"/>
            <w:vAlign w:val="center"/>
          </w:tcPr>
          <w:p>
            <w:pPr>
              <w:spacing w:line="480" w:lineRule="exact"/>
              <w:jc w:val="center"/>
              <w:rPr>
                <w:sz w:val="20"/>
                <w:szCs w:val="20"/>
              </w:rPr>
            </w:pPr>
            <w:r>
              <w:rPr>
                <w:rFonts w:hint="eastAsia" w:ascii="宋体" w:hAnsi="宋体" w:eastAsia="宋体"/>
                <w:color w:val="000000"/>
                <w:sz w:val="20"/>
                <w:szCs w:val="20"/>
              </w:rPr>
              <w:t>三级医院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4" w:hRule="atLeast"/>
        </w:trPr>
        <w:tc>
          <w:tcPr>
            <w:tcW w:w="4289" w:type="dxa"/>
            <w:vMerge w:val="continue"/>
            <w:vAlign w:val="top"/>
          </w:tcPr>
          <w:p>
            <w:pPr>
              <w:rPr>
                <w:sz w:val="20"/>
                <w:szCs w:val="20"/>
              </w:rPr>
            </w:pPr>
          </w:p>
        </w:tc>
        <w:tc>
          <w:tcPr>
            <w:tcW w:w="982" w:type="dxa"/>
            <w:vAlign w:val="center"/>
          </w:tcPr>
          <w:p>
            <w:pPr>
              <w:spacing w:line="488" w:lineRule="exact"/>
              <w:jc w:val="center"/>
              <w:rPr>
                <w:sz w:val="20"/>
                <w:szCs w:val="20"/>
              </w:rPr>
            </w:pPr>
            <w:r>
              <w:rPr>
                <w:rFonts w:hint="eastAsia" w:ascii="宋体" w:hAnsi="宋体" w:eastAsia="宋体"/>
                <w:color w:val="000000"/>
                <w:sz w:val="20"/>
                <w:szCs w:val="20"/>
              </w:rPr>
              <w:t>在职</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退休</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在职</w:t>
            </w:r>
          </w:p>
        </w:tc>
        <w:tc>
          <w:tcPr>
            <w:tcW w:w="970" w:type="dxa"/>
            <w:vAlign w:val="center"/>
          </w:tcPr>
          <w:p>
            <w:pPr>
              <w:spacing w:line="497" w:lineRule="exact"/>
              <w:jc w:val="center"/>
              <w:rPr>
                <w:sz w:val="20"/>
                <w:szCs w:val="20"/>
              </w:rPr>
            </w:pPr>
            <w:r>
              <w:rPr>
                <w:rFonts w:hint="eastAsia" w:ascii="宋体" w:hAnsi="宋体" w:eastAsia="宋体"/>
                <w:color w:val="000000"/>
                <w:sz w:val="20"/>
                <w:szCs w:val="20"/>
              </w:rPr>
              <w:t>退休</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在职</w:t>
            </w:r>
          </w:p>
        </w:tc>
        <w:tc>
          <w:tcPr>
            <w:tcW w:w="753" w:type="dxa"/>
            <w:vAlign w:val="center"/>
          </w:tcPr>
          <w:p>
            <w:pPr>
              <w:spacing w:line="480" w:lineRule="exact"/>
              <w:jc w:val="center"/>
              <w:rPr>
                <w:sz w:val="20"/>
                <w:szCs w:val="20"/>
              </w:rPr>
            </w:pPr>
            <w:r>
              <w:rPr>
                <w:rFonts w:hint="eastAsia" w:ascii="宋体" w:hAnsi="宋体" w:eastAsia="宋体"/>
                <w:color w:val="000000"/>
                <w:sz w:val="20"/>
                <w:szCs w:val="20"/>
              </w:rPr>
              <w:t>退休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7" w:hRule="atLeast"/>
        </w:trPr>
        <w:tc>
          <w:tcPr>
            <w:tcW w:w="4289" w:type="dxa"/>
            <w:vAlign w:val="center"/>
          </w:tcPr>
          <w:p>
            <w:pPr>
              <w:spacing w:line="497" w:lineRule="exact"/>
              <w:jc w:val="center"/>
              <w:rPr>
                <w:sz w:val="20"/>
                <w:szCs w:val="20"/>
              </w:rPr>
            </w:pPr>
            <w:r>
              <w:rPr>
                <w:rFonts w:hint="eastAsia" w:ascii="宋体" w:hAnsi="宋体" w:eastAsia="宋体"/>
                <w:color w:val="000000"/>
                <w:sz w:val="20"/>
                <w:szCs w:val="20"/>
              </w:rPr>
              <w:t>起付标准（元）</w:t>
            </w:r>
          </w:p>
        </w:tc>
        <w:tc>
          <w:tcPr>
            <w:tcW w:w="1870" w:type="dxa"/>
            <w:gridSpan w:val="2"/>
            <w:vAlign w:val="center"/>
          </w:tcPr>
          <w:p>
            <w:pPr>
              <w:spacing w:line="480" w:lineRule="exact"/>
              <w:jc w:val="center"/>
              <w:rPr>
                <w:sz w:val="20"/>
                <w:szCs w:val="20"/>
              </w:rPr>
            </w:pPr>
            <w:r>
              <w:rPr>
                <w:rFonts w:hint="eastAsia" w:ascii="宋体" w:hAnsi="宋体" w:eastAsia="宋体"/>
                <w:color w:val="000000"/>
                <w:sz w:val="20"/>
                <w:szCs w:val="20"/>
              </w:rPr>
              <w:t>300</w:t>
            </w:r>
          </w:p>
        </w:tc>
        <w:tc>
          <w:tcPr>
            <w:tcW w:w="1858" w:type="dxa"/>
            <w:gridSpan w:val="2"/>
            <w:vAlign w:val="center"/>
          </w:tcPr>
          <w:p>
            <w:pPr>
              <w:spacing w:line="480" w:lineRule="exact"/>
              <w:jc w:val="center"/>
              <w:rPr>
                <w:sz w:val="20"/>
                <w:szCs w:val="20"/>
              </w:rPr>
            </w:pPr>
            <w:r>
              <w:rPr>
                <w:rFonts w:hint="eastAsia" w:ascii="宋体" w:hAnsi="宋体" w:eastAsia="宋体"/>
                <w:color w:val="000000"/>
                <w:sz w:val="20"/>
                <w:szCs w:val="20"/>
              </w:rPr>
              <w:t>500</w:t>
            </w:r>
          </w:p>
        </w:tc>
        <w:tc>
          <w:tcPr>
            <w:tcW w:w="1641" w:type="dxa"/>
            <w:gridSpan w:val="2"/>
            <w:vAlign w:val="center"/>
          </w:tcPr>
          <w:p>
            <w:pPr>
              <w:spacing w:line="480" w:lineRule="exact"/>
              <w:jc w:val="center"/>
              <w:rPr>
                <w:sz w:val="20"/>
                <w:szCs w:val="20"/>
              </w:rPr>
            </w:pPr>
            <w:r>
              <w:rPr>
                <w:rFonts w:hint="eastAsia" w:ascii="宋体" w:hAnsi="宋体" w:eastAsia="宋体"/>
                <w:color w:val="000000"/>
                <w:sz w:val="20"/>
                <w:szCs w:val="20"/>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trPr>
        <w:tc>
          <w:tcPr>
            <w:tcW w:w="4289" w:type="dxa"/>
            <w:vAlign w:val="center"/>
          </w:tcPr>
          <w:p>
            <w:pPr>
              <w:spacing w:line="560" w:lineRule="exact"/>
              <w:jc w:val="center"/>
              <w:rPr>
                <w:sz w:val="20"/>
                <w:szCs w:val="20"/>
              </w:rPr>
            </w:pPr>
            <w:r>
              <w:rPr>
                <w:rFonts w:hint="eastAsia" w:ascii="宋体" w:hAnsi="宋体" w:eastAsia="宋体"/>
                <w:color w:val="000000"/>
                <w:sz w:val="20"/>
                <w:szCs w:val="20"/>
              </w:rPr>
              <w:t>0-1万元（含1万元）</w:t>
            </w:r>
          </w:p>
        </w:tc>
        <w:tc>
          <w:tcPr>
            <w:tcW w:w="982" w:type="dxa"/>
            <w:vAlign w:val="center"/>
          </w:tcPr>
          <w:p>
            <w:pPr>
              <w:spacing w:line="480" w:lineRule="exact"/>
              <w:jc w:val="center"/>
              <w:rPr>
                <w:sz w:val="20"/>
                <w:szCs w:val="20"/>
              </w:rPr>
            </w:pPr>
            <w:r>
              <w:rPr>
                <w:rFonts w:hint="eastAsia" w:ascii="宋体" w:hAnsi="宋体" w:eastAsia="宋体"/>
                <w:color w:val="000000"/>
                <w:sz w:val="20"/>
                <w:szCs w:val="20"/>
              </w:rPr>
              <w:t>82%</w:t>
            </w:r>
          </w:p>
        </w:tc>
        <w:tc>
          <w:tcPr>
            <w:tcW w:w="888" w:type="dxa"/>
            <w:vAlign w:val="center"/>
          </w:tcPr>
          <w:p>
            <w:pPr>
              <w:spacing w:line="470" w:lineRule="exact"/>
              <w:jc w:val="center"/>
              <w:rPr>
                <w:sz w:val="20"/>
                <w:szCs w:val="20"/>
              </w:rPr>
            </w:pPr>
            <w:r>
              <w:rPr>
                <w:rFonts w:hint="eastAsia" w:ascii="宋体" w:hAnsi="宋体" w:eastAsia="宋体"/>
                <w:color w:val="000000"/>
                <w:sz w:val="20"/>
                <w:szCs w:val="20"/>
              </w:rPr>
              <w:t>91%</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78%</w:t>
            </w:r>
          </w:p>
        </w:tc>
        <w:tc>
          <w:tcPr>
            <w:tcW w:w="970" w:type="dxa"/>
            <w:vAlign w:val="center"/>
          </w:tcPr>
          <w:p>
            <w:pPr>
              <w:spacing w:line="480" w:lineRule="exact"/>
              <w:jc w:val="center"/>
              <w:rPr>
                <w:sz w:val="20"/>
                <w:szCs w:val="20"/>
              </w:rPr>
            </w:pPr>
            <w:r>
              <w:rPr>
                <w:rFonts w:hint="eastAsia" w:ascii="宋体" w:hAnsi="宋体" w:eastAsia="宋体"/>
                <w:color w:val="000000"/>
                <w:sz w:val="20"/>
                <w:szCs w:val="20"/>
              </w:rPr>
              <w:t>89%</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74%</w:t>
            </w:r>
          </w:p>
        </w:tc>
        <w:tc>
          <w:tcPr>
            <w:tcW w:w="753" w:type="dxa"/>
            <w:vAlign w:val="center"/>
          </w:tcPr>
          <w:p>
            <w:pPr>
              <w:spacing w:line="480" w:lineRule="exact"/>
              <w:jc w:val="center"/>
              <w:rPr>
                <w:sz w:val="20"/>
                <w:szCs w:val="20"/>
              </w:rPr>
            </w:pPr>
            <w:r>
              <w:rPr>
                <w:rFonts w:hint="eastAsia" w:ascii="宋体" w:hAnsi="宋体" w:eastAsia="宋体"/>
                <w:color w:val="000000"/>
                <w:sz w:val="20"/>
                <w:szCs w:val="20"/>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5" w:hRule="atLeast"/>
        </w:trPr>
        <w:tc>
          <w:tcPr>
            <w:tcW w:w="4289" w:type="dxa"/>
            <w:vAlign w:val="center"/>
          </w:tcPr>
          <w:p>
            <w:pPr>
              <w:spacing w:line="580" w:lineRule="exact"/>
              <w:jc w:val="center"/>
              <w:rPr>
                <w:sz w:val="20"/>
                <w:szCs w:val="20"/>
              </w:rPr>
            </w:pPr>
            <w:r>
              <w:rPr>
                <w:rFonts w:hint="eastAsia" w:ascii="宋体" w:hAnsi="宋体" w:eastAsia="宋体"/>
                <w:color w:val="000000"/>
                <w:sz w:val="20"/>
                <w:szCs w:val="20"/>
              </w:rPr>
              <w:t>1万-5万元（含5万元）</w:t>
            </w:r>
          </w:p>
        </w:tc>
        <w:tc>
          <w:tcPr>
            <w:tcW w:w="982" w:type="dxa"/>
            <w:vAlign w:val="center"/>
          </w:tcPr>
          <w:p>
            <w:pPr>
              <w:spacing w:line="480" w:lineRule="exact"/>
              <w:jc w:val="center"/>
              <w:rPr>
                <w:sz w:val="20"/>
                <w:szCs w:val="20"/>
              </w:rPr>
            </w:pPr>
            <w:r>
              <w:rPr>
                <w:rFonts w:hint="eastAsia" w:ascii="宋体" w:hAnsi="宋体" w:eastAsia="宋体"/>
                <w:color w:val="000000"/>
                <w:sz w:val="20"/>
                <w:szCs w:val="20"/>
              </w:rPr>
              <w:t>90%</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95%</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85%</w:t>
            </w:r>
          </w:p>
        </w:tc>
        <w:tc>
          <w:tcPr>
            <w:tcW w:w="970" w:type="dxa"/>
            <w:vAlign w:val="center"/>
          </w:tcPr>
          <w:p>
            <w:pPr>
              <w:spacing w:line="480" w:lineRule="exact"/>
              <w:jc w:val="center"/>
              <w:rPr>
                <w:sz w:val="20"/>
                <w:szCs w:val="20"/>
              </w:rPr>
            </w:pPr>
            <w:r>
              <w:rPr>
                <w:rFonts w:hint="eastAsia" w:ascii="宋体" w:hAnsi="宋体" w:eastAsia="宋体"/>
                <w:color w:val="000000"/>
                <w:sz w:val="20"/>
                <w:szCs w:val="20"/>
              </w:rPr>
              <w:t>92.5%</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80%</w:t>
            </w:r>
          </w:p>
        </w:tc>
        <w:tc>
          <w:tcPr>
            <w:tcW w:w="753" w:type="dxa"/>
            <w:vAlign w:val="center"/>
          </w:tcPr>
          <w:p>
            <w:pPr>
              <w:spacing w:line="480" w:lineRule="exact"/>
              <w:jc w:val="center"/>
              <w:rPr>
                <w:sz w:val="20"/>
                <w:szCs w:val="20"/>
              </w:rPr>
            </w:pPr>
            <w:r>
              <w:rPr>
                <w:rFonts w:hint="eastAsia" w:ascii="宋体" w:hAnsi="宋体" w:eastAsia="宋体"/>
                <w:color w:val="000000"/>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trPr>
        <w:tc>
          <w:tcPr>
            <w:tcW w:w="4289" w:type="dxa"/>
            <w:vAlign w:val="center"/>
          </w:tcPr>
          <w:p>
            <w:pPr>
              <w:spacing w:line="497" w:lineRule="exact"/>
              <w:jc w:val="center"/>
              <w:rPr>
                <w:sz w:val="20"/>
                <w:szCs w:val="20"/>
              </w:rPr>
            </w:pPr>
            <w:r>
              <w:rPr>
                <w:rFonts w:hint="eastAsia" w:ascii="宋体" w:hAnsi="宋体" w:eastAsia="宋体"/>
                <w:color w:val="000000"/>
                <w:sz w:val="20"/>
                <w:szCs w:val="20"/>
              </w:rPr>
              <w:t>5万-12万元（含12万元）</w:t>
            </w:r>
          </w:p>
        </w:tc>
        <w:tc>
          <w:tcPr>
            <w:tcW w:w="982" w:type="dxa"/>
            <w:vAlign w:val="center"/>
          </w:tcPr>
          <w:p>
            <w:pPr>
              <w:spacing w:line="480" w:lineRule="exact"/>
              <w:jc w:val="center"/>
              <w:rPr>
                <w:sz w:val="20"/>
                <w:szCs w:val="20"/>
              </w:rPr>
            </w:pPr>
            <w:r>
              <w:rPr>
                <w:rFonts w:hint="eastAsia" w:ascii="宋体" w:hAnsi="宋体" w:eastAsia="宋体"/>
                <w:color w:val="000000"/>
                <w:sz w:val="20"/>
                <w:szCs w:val="20"/>
              </w:rPr>
              <w:t>90%</w:t>
            </w:r>
          </w:p>
        </w:tc>
        <w:tc>
          <w:tcPr>
            <w:tcW w:w="888" w:type="dxa"/>
            <w:vAlign w:val="center"/>
          </w:tcPr>
          <w:p>
            <w:pPr>
              <w:spacing w:line="470" w:lineRule="exact"/>
              <w:jc w:val="center"/>
              <w:rPr>
                <w:sz w:val="20"/>
                <w:szCs w:val="20"/>
              </w:rPr>
            </w:pPr>
            <w:r>
              <w:rPr>
                <w:rFonts w:hint="eastAsia" w:ascii="宋体" w:hAnsi="宋体" w:eastAsia="宋体"/>
                <w:color w:val="000000"/>
                <w:sz w:val="20"/>
                <w:szCs w:val="20"/>
              </w:rPr>
              <w:t>95%</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90%</w:t>
            </w:r>
          </w:p>
        </w:tc>
        <w:tc>
          <w:tcPr>
            <w:tcW w:w="970" w:type="dxa"/>
            <w:vAlign w:val="center"/>
          </w:tcPr>
          <w:p>
            <w:pPr>
              <w:spacing w:line="480" w:lineRule="exact"/>
              <w:jc w:val="center"/>
              <w:rPr>
                <w:sz w:val="20"/>
                <w:szCs w:val="20"/>
              </w:rPr>
            </w:pPr>
            <w:r>
              <w:rPr>
                <w:rFonts w:hint="eastAsia" w:ascii="宋体" w:hAnsi="宋体" w:eastAsia="宋体"/>
                <w:color w:val="000000"/>
                <w:sz w:val="20"/>
                <w:szCs w:val="20"/>
              </w:rPr>
              <w:t>95%</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90%</w:t>
            </w:r>
          </w:p>
        </w:tc>
        <w:tc>
          <w:tcPr>
            <w:tcW w:w="753" w:type="dxa"/>
            <w:vAlign w:val="center"/>
          </w:tcPr>
          <w:p>
            <w:pPr>
              <w:spacing w:line="480" w:lineRule="exact"/>
              <w:jc w:val="center"/>
              <w:rPr>
                <w:sz w:val="20"/>
                <w:szCs w:val="20"/>
              </w:rPr>
            </w:pPr>
            <w:r>
              <w:rPr>
                <w:rFonts w:hint="eastAsia" w:ascii="宋体" w:hAnsi="宋体" w:eastAsia="宋体"/>
                <w:color w:val="000000"/>
                <w:sz w:val="20"/>
                <w:szCs w:val="2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5" w:hRule="atLeast"/>
        </w:trPr>
        <w:tc>
          <w:tcPr>
            <w:tcW w:w="4289" w:type="dxa"/>
            <w:vAlign w:val="center"/>
          </w:tcPr>
          <w:p>
            <w:pPr>
              <w:spacing w:line="540" w:lineRule="exact"/>
              <w:jc w:val="center"/>
              <w:rPr>
                <w:sz w:val="20"/>
                <w:szCs w:val="20"/>
              </w:rPr>
            </w:pPr>
            <w:r>
              <w:rPr>
                <w:rFonts w:hint="eastAsia" w:ascii="宋体" w:hAnsi="宋体" w:eastAsia="宋体"/>
                <w:color w:val="000000"/>
                <w:sz w:val="20"/>
                <w:szCs w:val="20"/>
              </w:rPr>
              <w:t>12万元-55万元（大额救助金支付）</w:t>
            </w:r>
          </w:p>
        </w:tc>
        <w:tc>
          <w:tcPr>
            <w:tcW w:w="982" w:type="dxa"/>
            <w:vAlign w:val="center"/>
          </w:tcPr>
          <w:p>
            <w:pPr>
              <w:spacing w:line="480" w:lineRule="exact"/>
              <w:jc w:val="center"/>
              <w:rPr>
                <w:rFonts w:hint="default" w:eastAsia="宋体"/>
                <w:sz w:val="20"/>
                <w:szCs w:val="20"/>
                <w:lang w:val="en-US" w:eastAsia="zh-CN"/>
              </w:rPr>
            </w:pPr>
            <w:r>
              <w:rPr>
                <w:rFonts w:hint="eastAsia" w:ascii="宋体" w:hAnsi="宋体" w:eastAsia="宋体"/>
                <w:color w:val="000000"/>
                <w:sz w:val="20"/>
                <w:szCs w:val="20"/>
              </w:rPr>
              <w:t>90%</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90%</w:t>
            </w:r>
          </w:p>
        </w:tc>
        <w:tc>
          <w:tcPr>
            <w:tcW w:w="888" w:type="dxa"/>
            <w:vAlign w:val="center"/>
          </w:tcPr>
          <w:p>
            <w:pPr>
              <w:spacing w:line="480" w:lineRule="exact"/>
              <w:jc w:val="center"/>
              <w:rPr>
                <w:sz w:val="20"/>
                <w:szCs w:val="20"/>
              </w:rPr>
            </w:pPr>
            <w:r>
              <w:rPr>
                <w:rFonts w:hint="eastAsia" w:ascii="宋体" w:hAnsi="宋体" w:eastAsia="宋体"/>
                <w:color w:val="000000"/>
                <w:sz w:val="20"/>
                <w:szCs w:val="20"/>
              </w:rPr>
              <w:t>90%</w:t>
            </w:r>
          </w:p>
        </w:tc>
        <w:tc>
          <w:tcPr>
            <w:tcW w:w="970" w:type="dxa"/>
            <w:vAlign w:val="center"/>
          </w:tcPr>
          <w:p>
            <w:pPr>
              <w:tabs>
                <w:tab w:val="left" w:pos="832"/>
              </w:tabs>
              <w:spacing w:line="545" w:lineRule="exact"/>
              <w:ind w:left="100" w:firstLine="0"/>
              <w:jc w:val="center"/>
              <w:rPr>
                <w:rFonts w:hint="default" w:eastAsia="等线"/>
                <w:sz w:val="20"/>
                <w:szCs w:val="20"/>
                <w:lang w:val="en-US" w:eastAsia="zh-CN"/>
              </w:rPr>
            </w:pPr>
            <w:r>
              <w:rPr>
                <w:rFonts w:hint="eastAsia" w:ascii="宋体" w:hAnsi="宋体" w:eastAsia="宋体"/>
                <w:color w:val="000000"/>
                <w:sz w:val="20"/>
                <w:szCs w:val="20"/>
              </w:rPr>
              <w:t>90%</w:t>
            </w:r>
          </w:p>
        </w:tc>
        <w:tc>
          <w:tcPr>
            <w:tcW w:w="888" w:type="dxa"/>
            <w:vAlign w:val="center"/>
          </w:tcPr>
          <w:p>
            <w:pPr>
              <w:tabs>
                <w:tab w:val="left" w:pos="832"/>
              </w:tabs>
              <w:spacing w:line="545" w:lineRule="exact"/>
              <w:ind w:left="100" w:firstLine="0"/>
              <w:jc w:val="center"/>
              <w:rPr>
                <w:rFonts w:hint="eastAsia"/>
                <w:sz w:val="20"/>
                <w:szCs w:val="20"/>
                <w:lang w:eastAsia="zh-CN"/>
              </w:rPr>
            </w:pPr>
            <w:r>
              <w:rPr>
                <w:rFonts w:hint="eastAsia" w:ascii="宋体" w:hAnsi="宋体" w:eastAsia="宋体"/>
                <w:color w:val="000000"/>
                <w:sz w:val="20"/>
                <w:szCs w:val="20"/>
              </w:rPr>
              <w:t>90%</w:t>
            </w:r>
          </w:p>
        </w:tc>
        <w:tc>
          <w:tcPr>
            <w:tcW w:w="753" w:type="dxa"/>
            <w:vAlign w:val="center"/>
          </w:tcPr>
          <w:p>
            <w:pPr>
              <w:tabs>
                <w:tab w:val="left" w:pos="832"/>
              </w:tabs>
              <w:spacing w:line="545" w:lineRule="exact"/>
              <w:ind w:left="100" w:firstLine="0"/>
              <w:jc w:val="center"/>
              <w:rPr>
                <w:rFonts w:hint="eastAsia"/>
                <w:sz w:val="20"/>
                <w:szCs w:val="20"/>
                <w:lang w:eastAsia="zh-CN"/>
              </w:rPr>
            </w:pPr>
            <w:r>
              <w:rPr>
                <w:rFonts w:hint="eastAsia" w:ascii="宋体" w:hAnsi="宋体" w:eastAsia="宋体"/>
                <w:color w:val="000000"/>
                <w:sz w:val="20"/>
                <w:szCs w:val="20"/>
              </w:rPr>
              <w:t>90%</w:t>
            </w:r>
          </w:p>
        </w:tc>
      </w:tr>
      <w:bookmarkEnd w:id="142"/>
    </w:tbl>
    <w:p>
      <w:pPr>
        <w:pStyle w:val="14"/>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textAlignment w:val="auto"/>
        <w:rPr>
          <w:rFonts w:hint="default" w:asciiTheme="minorEastAsia" w:hAnsiTheme="minorEastAsia" w:eastAsiaTheme="minorEastAsia" w:cstheme="minorEastAsia"/>
          <w:b/>
          <w:color w:val="000000"/>
          <w:kern w:val="0"/>
          <w:sz w:val="36"/>
          <w:szCs w:val="36"/>
          <w:lang w:val="en-US" w:eastAsia="zh-CN" w:bidi="ar-SA"/>
        </w:rPr>
      </w:pPr>
      <w:r>
        <w:rPr>
          <w:rFonts w:hint="eastAsia" w:asciiTheme="minorEastAsia" w:hAnsiTheme="minorEastAsia" w:eastAsiaTheme="minorEastAsia" w:cstheme="minorEastAsia"/>
          <w:b/>
          <w:color w:val="000000"/>
          <w:kern w:val="0"/>
          <w:sz w:val="36"/>
          <w:szCs w:val="36"/>
          <w:lang w:val="en-US" w:eastAsia="zh-CN" w:bidi="ar-SA"/>
        </w:rPr>
        <w:t>四、居民门诊</w:t>
      </w:r>
    </w:p>
    <w:p>
      <w:pPr>
        <w:widowControl/>
        <w:ind w:firstLine="960" w:firstLineChars="300"/>
        <w:jc w:val="center"/>
        <w:rPr>
          <w:rFonts w:hint="eastAsia" w:ascii="黑体" w:hAnsi="黑体" w:eastAsia="黑体" w:cs="黑体"/>
          <w:color w:val="auto"/>
          <w:kern w:val="0"/>
          <w:sz w:val="32"/>
          <w:szCs w:val="32"/>
          <w:lang w:val="en-US" w:eastAsia="zh-CN" w:bidi="ar-SA"/>
        </w:rPr>
      </w:pPr>
      <w:r>
        <w:rPr>
          <w:rFonts w:hint="eastAsia" w:ascii="黑体" w:hAnsi="黑体" w:eastAsia="黑体" w:cs="黑体"/>
          <w:color w:val="auto"/>
          <w:kern w:val="0"/>
          <w:sz w:val="32"/>
          <w:szCs w:val="32"/>
          <w:lang w:val="en-US" w:eastAsia="zh-CN" w:bidi="ar-SA"/>
        </w:rPr>
        <w:t>淄博市城乡居民医疗保险门诊待遇政策汇总表</w:t>
      </w:r>
    </w:p>
    <w:tbl>
      <w:tblPr>
        <w:tblStyle w:val="15"/>
        <w:tblW w:w="9525"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545"/>
        <w:gridCol w:w="690"/>
        <w:gridCol w:w="948"/>
        <w:gridCol w:w="762"/>
        <w:gridCol w:w="1455"/>
        <w:gridCol w:w="1215"/>
        <w:gridCol w:w="1557"/>
        <w:gridCol w:w="13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79" w:hRule="atLeast"/>
        </w:trPr>
        <w:tc>
          <w:tcPr>
            <w:tcW w:w="1545" w:type="dxa"/>
            <w:vMerge w:val="restart"/>
            <w:tcBorders>
              <w:top w:val="single" w:color="auto" w:sz="8" w:space="0"/>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保障类别</w:t>
            </w:r>
          </w:p>
        </w:tc>
        <w:tc>
          <w:tcPr>
            <w:tcW w:w="2400" w:type="dxa"/>
            <w:gridSpan w:val="3"/>
            <w:tcBorders>
              <w:top w:val="single" w:color="auto" w:sz="8" w:space="0"/>
              <w:left w:val="single" w:color="auto" w:sz="8" w:space="0"/>
              <w:bottom w:val="single" w:color="auto" w:sz="4"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起付线</w:t>
            </w:r>
          </w:p>
        </w:tc>
        <w:tc>
          <w:tcPr>
            <w:tcW w:w="4227" w:type="dxa"/>
            <w:gridSpan w:val="3"/>
            <w:tcBorders>
              <w:top w:val="single" w:color="auto" w:sz="8" w:space="0"/>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报销比例</w:t>
            </w:r>
          </w:p>
        </w:tc>
        <w:tc>
          <w:tcPr>
            <w:tcW w:w="1353" w:type="dxa"/>
            <w:vMerge w:val="restart"/>
            <w:tcBorders>
              <w:top w:val="single" w:color="auto" w:sz="8" w:space="0"/>
              <w:left w:val="single" w:color="auto" w:sz="8" w:space="0"/>
              <w:bottom w:val="single" w:color="auto" w:sz="8" w:space="0"/>
              <w:right w:val="single" w:color="auto" w:sz="8" w:space="0"/>
            </w:tcBorders>
            <w:shd w:val="clear" w:color="auto" w:fill="FFFFFF"/>
            <w:tcMar>
              <w:left w:w="10" w:type="dxa"/>
              <w:right w:w="10" w:type="dxa"/>
            </w:tcMar>
            <w:vAlign w:val="top"/>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p>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i w:val="0"/>
                <w:iCs w:val="0"/>
                <w:caps w:val="0"/>
                <w:spacing w:val="8"/>
                <w:sz w:val="20"/>
                <w:szCs w:val="20"/>
              </w:rPr>
            </w:pPr>
            <w:r>
              <w:rPr>
                <w:rFonts w:hint="eastAsia" w:asciiTheme="minorEastAsia" w:hAnsiTheme="minorEastAsia" w:eastAsiaTheme="minorEastAsia" w:cstheme="minorEastAsia"/>
                <w:i w:val="0"/>
                <w:iCs w:val="0"/>
                <w:caps w:val="0"/>
                <w:spacing w:val="8"/>
                <w:sz w:val="20"/>
                <w:szCs w:val="20"/>
              </w:rPr>
              <w:t>最高支</w:t>
            </w:r>
          </w:p>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付限额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6" w:hRule="atLeast"/>
        </w:trPr>
        <w:tc>
          <w:tcPr>
            <w:tcW w:w="1545" w:type="dxa"/>
            <w:vMerge w:val="continue"/>
            <w:tcBorders>
              <w:top w:val="single" w:color="auto" w:sz="8" w:space="0"/>
              <w:left w:val="single" w:color="auto" w:sz="8" w:space="0"/>
              <w:bottom w:val="single" w:color="auto" w:sz="8" w:space="0"/>
              <w:right w:val="single" w:color="auto" w:sz="4" w:space="0"/>
            </w:tcBorders>
            <w:shd w:val="clear" w:color="auto" w:fill="FFFFFF"/>
            <w:tcMar>
              <w:left w:w="10" w:type="dxa"/>
              <w:right w:w="10" w:type="dxa"/>
            </w:tcMar>
            <w:vAlign w:val="center"/>
          </w:tcPr>
          <w:p>
            <w:pPr>
              <w:jc w:val="center"/>
              <w:rPr>
                <w:rFonts w:hint="eastAsia" w:asciiTheme="minorEastAsia" w:hAnsiTheme="minorEastAsia" w:eastAsiaTheme="minorEastAsia" w:cstheme="minorEastAsia"/>
                <w:i w:val="0"/>
                <w:iCs w:val="0"/>
                <w:caps w:val="0"/>
                <w:spacing w:val="8"/>
                <w:sz w:val="20"/>
                <w:szCs w:val="20"/>
              </w:rPr>
            </w:pPr>
          </w:p>
        </w:tc>
        <w:tc>
          <w:tcPr>
            <w:tcW w:w="690"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i w:val="0"/>
                <w:iCs w:val="0"/>
                <w:caps w:val="0"/>
                <w:spacing w:val="8"/>
                <w:sz w:val="20"/>
                <w:szCs w:val="20"/>
              </w:rPr>
            </w:pPr>
            <w:r>
              <w:rPr>
                <w:rFonts w:hint="eastAsia" w:asciiTheme="minorEastAsia" w:hAnsiTheme="minorEastAsia" w:eastAsiaTheme="minorEastAsia" w:cstheme="minorEastAsia"/>
                <w:i w:val="0"/>
                <w:iCs w:val="0"/>
                <w:caps w:val="0"/>
                <w:spacing w:val="8"/>
                <w:sz w:val="20"/>
                <w:szCs w:val="20"/>
              </w:rPr>
              <w:t>一级</w:t>
            </w:r>
          </w:p>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医院</w:t>
            </w:r>
          </w:p>
        </w:tc>
        <w:tc>
          <w:tcPr>
            <w:tcW w:w="948"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i w:val="0"/>
                <w:iCs w:val="0"/>
                <w:caps w:val="0"/>
                <w:spacing w:val="8"/>
                <w:sz w:val="20"/>
                <w:szCs w:val="20"/>
              </w:rPr>
            </w:pPr>
            <w:r>
              <w:rPr>
                <w:rFonts w:hint="eastAsia" w:asciiTheme="minorEastAsia" w:hAnsiTheme="minorEastAsia" w:eastAsiaTheme="minorEastAsia" w:cstheme="minorEastAsia"/>
                <w:i w:val="0"/>
                <w:iCs w:val="0"/>
                <w:caps w:val="0"/>
                <w:spacing w:val="8"/>
                <w:sz w:val="20"/>
                <w:szCs w:val="20"/>
              </w:rPr>
              <w:t>二级</w:t>
            </w:r>
          </w:p>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医院</w:t>
            </w:r>
          </w:p>
        </w:tc>
        <w:tc>
          <w:tcPr>
            <w:tcW w:w="762"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i w:val="0"/>
                <w:iCs w:val="0"/>
                <w:caps w:val="0"/>
                <w:spacing w:val="8"/>
                <w:sz w:val="20"/>
                <w:szCs w:val="20"/>
              </w:rPr>
            </w:pPr>
            <w:r>
              <w:rPr>
                <w:rFonts w:hint="eastAsia" w:asciiTheme="minorEastAsia" w:hAnsiTheme="minorEastAsia" w:eastAsiaTheme="minorEastAsia" w:cstheme="minorEastAsia"/>
                <w:i w:val="0"/>
                <w:iCs w:val="0"/>
                <w:caps w:val="0"/>
                <w:spacing w:val="8"/>
                <w:sz w:val="20"/>
                <w:szCs w:val="20"/>
              </w:rPr>
              <w:t>三级</w:t>
            </w:r>
          </w:p>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医院</w:t>
            </w:r>
          </w:p>
        </w:tc>
        <w:tc>
          <w:tcPr>
            <w:tcW w:w="1455" w:type="dxa"/>
            <w:tcBorders>
              <w:top w:val="single" w:color="auto" w:sz="8" w:space="0"/>
              <w:left w:val="single" w:color="auto" w:sz="4"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一级医院</w:t>
            </w:r>
          </w:p>
        </w:tc>
        <w:tc>
          <w:tcPr>
            <w:tcW w:w="1215" w:type="dxa"/>
            <w:tcBorders>
              <w:top w:val="single" w:color="auto" w:sz="8" w:space="0"/>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二级医院</w:t>
            </w:r>
          </w:p>
        </w:tc>
        <w:tc>
          <w:tcPr>
            <w:tcW w:w="1557" w:type="dxa"/>
            <w:tcBorders>
              <w:top w:val="single" w:color="auto" w:sz="8" w:space="0"/>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三级医院</w:t>
            </w:r>
          </w:p>
        </w:tc>
        <w:tc>
          <w:tcPr>
            <w:tcW w:w="1353" w:type="dxa"/>
            <w:vMerge w:val="continue"/>
            <w:tcBorders>
              <w:top w:val="single" w:color="auto" w:sz="8" w:space="0"/>
              <w:left w:val="single" w:color="auto" w:sz="8" w:space="0"/>
              <w:bottom w:val="single" w:color="auto" w:sz="8" w:space="0"/>
              <w:right w:val="single" w:color="auto" w:sz="8" w:space="0"/>
            </w:tcBorders>
            <w:shd w:val="clear" w:color="auto" w:fill="FFFFFF"/>
            <w:tcMar>
              <w:left w:w="10" w:type="dxa"/>
              <w:right w:w="10" w:type="dxa"/>
            </w:tcMar>
            <w:vAlign w:val="top"/>
          </w:tcPr>
          <w:p>
            <w:pPr>
              <w:jc w:val="center"/>
              <w:rPr>
                <w:rFonts w:hint="eastAsia" w:asciiTheme="minorEastAsia" w:hAnsiTheme="minorEastAsia" w:eastAsiaTheme="minorEastAsia" w:cstheme="minorEastAsia"/>
                <w:i w:val="0"/>
                <w:iCs w:val="0"/>
                <w:caps w:val="0"/>
                <w:spacing w:val="8"/>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6" w:hRule="atLeast"/>
        </w:trPr>
        <w:tc>
          <w:tcPr>
            <w:tcW w:w="1545"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门诊慢特病</w:t>
            </w:r>
          </w:p>
        </w:tc>
        <w:tc>
          <w:tcPr>
            <w:tcW w:w="2400" w:type="dxa"/>
            <w:gridSpan w:val="3"/>
            <w:tcBorders>
              <w:top w:val="single" w:color="auto" w:sz="4" w:space="0"/>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500元</w:t>
            </w:r>
          </w:p>
        </w:tc>
        <w:tc>
          <w:tcPr>
            <w:tcW w:w="4227" w:type="dxa"/>
            <w:gridSpan w:val="3"/>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报销比例不低于60％，病种52种</w:t>
            </w:r>
          </w:p>
        </w:tc>
        <w:tc>
          <w:tcPr>
            <w:tcW w:w="1353" w:type="dxa"/>
            <w:tcBorders>
              <w:top w:val="nil"/>
              <w:left w:val="single" w:color="auto" w:sz="8" w:space="0"/>
              <w:bottom w:val="single" w:color="auto" w:sz="8" w:space="0"/>
              <w:right w:val="single" w:color="auto" w:sz="8" w:space="0"/>
            </w:tcBorders>
            <w:shd w:val="clear" w:color="auto" w:fill="FFFFFF"/>
            <w:tcMar>
              <w:left w:w="10" w:type="dxa"/>
              <w:right w:w="10" w:type="dxa"/>
            </w:tcMar>
            <w:vAlign w:val="top"/>
          </w:tcPr>
          <w:p>
            <w:pPr>
              <w:widowControl/>
              <w:wordWrap w:val="0"/>
              <w:spacing w:before="0" w:beforeAutospacing="0" w:after="0" w:afterAutospacing="0"/>
              <w:ind w:left="0" w:right="0"/>
              <w:jc w:val="center"/>
              <w:rPr>
                <w:rFonts w:hint="eastAsia" w:asciiTheme="minorEastAsia" w:hAnsiTheme="minorEastAsia" w:eastAsiaTheme="minorEastAsia" w:cstheme="minorEastAsia"/>
                <w:i w:val="0"/>
                <w:iCs w:val="0"/>
                <w:caps w:val="0"/>
                <w:spacing w:val="8"/>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30" w:hRule="atLeast"/>
        </w:trPr>
        <w:tc>
          <w:tcPr>
            <w:tcW w:w="1545"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门诊统筹</w:t>
            </w:r>
          </w:p>
        </w:tc>
        <w:tc>
          <w:tcPr>
            <w:tcW w:w="2400" w:type="dxa"/>
            <w:gridSpan w:val="3"/>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50元</w:t>
            </w:r>
          </w:p>
        </w:tc>
        <w:tc>
          <w:tcPr>
            <w:tcW w:w="4227" w:type="dxa"/>
            <w:gridSpan w:val="3"/>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50%</w:t>
            </w:r>
          </w:p>
        </w:tc>
        <w:tc>
          <w:tcPr>
            <w:tcW w:w="1353"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1000元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6" w:hRule="atLeast"/>
        </w:trPr>
        <w:tc>
          <w:tcPr>
            <w:tcW w:w="1545"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急诊</w:t>
            </w:r>
          </w:p>
        </w:tc>
        <w:tc>
          <w:tcPr>
            <w:tcW w:w="690"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50元</w:t>
            </w:r>
          </w:p>
        </w:tc>
        <w:tc>
          <w:tcPr>
            <w:tcW w:w="948"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300元</w:t>
            </w:r>
          </w:p>
        </w:tc>
        <w:tc>
          <w:tcPr>
            <w:tcW w:w="762"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500元</w:t>
            </w:r>
          </w:p>
        </w:tc>
        <w:tc>
          <w:tcPr>
            <w:tcW w:w="4227" w:type="dxa"/>
            <w:gridSpan w:val="3"/>
            <w:tcBorders>
              <w:top w:val="single" w:color="auto" w:sz="8" w:space="0"/>
              <w:left w:val="single" w:color="auto" w:sz="8" w:space="0"/>
              <w:bottom w:val="single" w:color="auto" w:sz="8" w:space="0"/>
              <w:right w:val="single" w:color="auto" w:sz="8" w:space="0"/>
            </w:tcBorders>
            <w:shd w:val="clear" w:color="auto" w:fill="FFFFFF"/>
            <w:tcMar>
              <w:left w:w="10" w:type="dxa"/>
              <w:right w:w="10" w:type="dxa"/>
            </w:tcMar>
            <w:vAlign w:val="top"/>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急诊治愈或经抢救无效死亡的报销比例55％；急诊治疗后转入住院治疗，急诊医疗费用并入住院费用，统一执行住院报销政策。</w:t>
            </w:r>
          </w:p>
        </w:tc>
        <w:tc>
          <w:tcPr>
            <w:tcW w:w="1353" w:type="dxa"/>
            <w:tcBorders>
              <w:top w:val="single" w:color="auto" w:sz="8" w:space="0"/>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200000元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2" w:hRule="atLeast"/>
        </w:trPr>
        <w:tc>
          <w:tcPr>
            <w:tcW w:w="1545" w:type="dxa"/>
            <w:tcBorders>
              <w:top w:val="nil"/>
              <w:left w:val="single" w:color="auto" w:sz="8" w:space="0"/>
              <w:bottom w:val="single" w:color="auto" w:sz="8" w:space="0"/>
              <w:right w:val="single" w:color="auto" w:sz="8" w:space="0"/>
            </w:tcBorders>
            <w:shd w:val="clear" w:color="auto" w:fill="FFFFFF"/>
            <w:tcMar>
              <w:left w:w="10" w:type="dxa"/>
              <w:right w:w="10" w:type="dxa"/>
            </w:tcMar>
            <w:vAlign w:val="top"/>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学生和儿童意外门诊医疗</w:t>
            </w:r>
          </w:p>
        </w:tc>
        <w:tc>
          <w:tcPr>
            <w:tcW w:w="2400" w:type="dxa"/>
            <w:gridSpan w:val="3"/>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50元</w:t>
            </w:r>
          </w:p>
        </w:tc>
        <w:tc>
          <w:tcPr>
            <w:tcW w:w="4227" w:type="dxa"/>
            <w:gridSpan w:val="3"/>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报销比例50％</w:t>
            </w:r>
          </w:p>
        </w:tc>
        <w:tc>
          <w:tcPr>
            <w:tcW w:w="1353"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5000元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9" w:hRule="atLeast"/>
        </w:trPr>
        <w:tc>
          <w:tcPr>
            <w:tcW w:w="1545" w:type="dxa"/>
            <w:tcBorders>
              <w:top w:val="nil"/>
              <w:left w:val="single" w:color="auto" w:sz="8" w:space="0"/>
              <w:bottom w:val="single" w:color="auto" w:sz="8" w:space="0"/>
              <w:right w:val="single" w:color="auto" w:sz="8" w:space="0"/>
            </w:tcBorders>
            <w:shd w:val="clear" w:color="auto" w:fill="FFFFFF"/>
            <w:tcMar>
              <w:left w:w="10" w:type="dxa"/>
              <w:right w:w="10" w:type="dxa"/>
            </w:tcMar>
            <w:vAlign w:val="top"/>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门诊抗排异</w:t>
            </w:r>
          </w:p>
        </w:tc>
        <w:tc>
          <w:tcPr>
            <w:tcW w:w="2400" w:type="dxa"/>
            <w:gridSpan w:val="3"/>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100元</w:t>
            </w:r>
          </w:p>
        </w:tc>
        <w:tc>
          <w:tcPr>
            <w:tcW w:w="4227" w:type="dxa"/>
            <w:gridSpan w:val="3"/>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75%</w:t>
            </w:r>
          </w:p>
        </w:tc>
        <w:tc>
          <w:tcPr>
            <w:tcW w:w="1353" w:type="dxa"/>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widowControl/>
              <w:wordWrap w:val="0"/>
              <w:spacing w:before="0" w:beforeAutospacing="0" w:after="0" w:afterAutospacing="0"/>
              <w:ind w:left="0" w:right="0"/>
              <w:jc w:val="center"/>
              <w:rPr>
                <w:rFonts w:hint="eastAsia" w:asciiTheme="minorEastAsia" w:hAnsiTheme="minorEastAsia" w:eastAsiaTheme="minorEastAsia" w:cstheme="minorEastAsia"/>
                <w:i w:val="0"/>
                <w:iCs w:val="0"/>
                <w:caps w:val="0"/>
                <w:spacing w:val="8"/>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2" w:hRule="atLeast"/>
        </w:trPr>
        <w:tc>
          <w:tcPr>
            <w:tcW w:w="1545" w:type="dxa"/>
            <w:tcBorders>
              <w:top w:val="nil"/>
              <w:left w:val="single" w:color="auto" w:sz="8" w:space="0"/>
              <w:bottom w:val="single" w:color="auto" w:sz="8" w:space="0"/>
              <w:right w:val="single" w:color="auto" w:sz="8" w:space="0"/>
            </w:tcBorders>
            <w:shd w:val="clear" w:color="auto" w:fill="FFFFFF"/>
            <w:tcMar>
              <w:left w:w="10" w:type="dxa"/>
              <w:right w:w="10" w:type="dxa"/>
            </w:tcMar>
            <w:vAlign w:val="top"/>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i w:val="0"/>
                <w:iCs w:val="0"/>
                <w:caps w:val="0"/>
                <w:spacing w:val="8"/>
                <w:sz w:val="20"/>
                <w:szCs w:val="20"/>
              </w:rPr>
            </w:pPr>
          </w:p>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市外就医</w:t>
            </w:r>
          </w:p>
        </w:tc>
        <w:tc>
          <w:tcPr>
            <w:tcW w:w="7980" w:type="dxa"/>
            <w:gridSpan w:val="7"/>
            <w:tcBorders>
              <w:top w:val="nil"/>
              <w:left w:val="single" w:color="auto" w:sz="8" w:space="0"/>
              <w:bottom w:val="single" w:color="auto" w:sz="8" w:space="0"/>
              <w:right w:val="single" w:color="auto" w:sz="8" w:space="0"/>
            </w:tcBorders>
            <w:shd w:val="clear" w:color="auto" w:fill="FFFFFF"/>
            <w:tcMar>
              <w:left w:w="10" w:type="dxa"/>
              <w:right w:w="10"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异地长期居住人员享受本市就医同级别医院的医保报销比例：临时外出就医人员首先负担符合政策规定医疗费用10％后，享受本市就医同级别医院的医保报销比例。</w:t>
            </w:r>
          </w:p>
        </w:tc>
      </w:tr>
    </w:tbl>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adjustRightInd/>
        <w:snapToGrid/>
        <w:spacing w:before="120" w:beforeAutospacing="0" w:after="120" w:afterAutospacing="0" w:line="560" w:lineRule="exact"/>
        <w:ind w:right="0"/>
        <w:jc w:val="both"/>
        <w:textAlignment w:val="auto"/>
        <w:rPr>
          <w:rFonts w:hint="eastAsia" w:asciiTheme="minorEastAsia" w:hAnsiTheme="minorEastAsia" w:eastAsiaTheme="minorEastAsia" w:cstheme="minorEastAsia"/>
          <w:i w:val="0"/>
          <w:iCs w:val="0"/>
          <w:caps w:val="0"/>
          <w:spacing w:val="0"/>
          <w:sz w:val="28"/>
          <w:szCs w:val="28"/>
          <w:shd w:val="clear" w:color="070000" w:fill="FFFFFF"/>
        </w:rPr>
      </w:pPr>
      <w:r>
        <w:rPr>
          <w:rFonts w:hint="eastAsia" w:asciiTheme="minorEastAsia" w:hAnsiTheme="minorEastAsia" w:eastAsiaTheme="minorEastAsia" w:cstheme="minorEastAsia"/>
          <w:i w:val="0"/>
          <w:iCs w:val="0"/>
          <w:caps w:val="0"/>
          <w:spacing w:val="0"/>
          <w:sz w:val="28"/>
          <w:szCs w:val="28"/>
          <w:shd w:val="clear" w:color="070000" w:fill="FFFFFF"/>
        </w:rPr>
        <w:t>注：</w:t>
      </w:r>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adjustRightInd/>
        <w:snapToGrid/>
        <w:spacing w:before="120" w:beforeAutospacing="0" w:after="120" w:afterAutospacing="0" w:line="560" w:lineRule="exact"/>
        <w:ind w:right="0"/>
        <w:jc w:val="both"/>
        <w:textAlignment w:val="auto"/>
        <w:rPr>
          <w:rFonts w:hint="eastAsia" w:asciiTheme="minorEastAsia" w:hAnsiTheme="minorEastAsia" w:eastAsiaTheme="minorEastAsia" w:cstheme="minorEastAsia"/>
          <w:i w:val="0"/>
          <w:iCs w:val="0"/>
          <w:caps w:val="0"/>
          <w:spacing w:val="0"/>
          <w:sz w:val="28"/>
          <w:szCs w:val="28"/>
          <w:shd w:val="clear" w:color="070000" w:fill="FFFFFF"/>
          <w:lang w:val="en-US" w:eastAsia="zh-CN"/>
        </w:rPr>
      </w:pPr>
      <w:r>
        <w:rPr>
          <w:rFonts w:hint="eastAsia" w:asciiTheme="minorEastAsia" w:hAnsiTheme="minorEastAsia" w:eastAsiaTheme="minorEastAsia" w:cstheme="minorEastAsia"/>
          <w:i w:val="0"/>
          <w:iCs w:val="0"/>
          <w:caps w:val="0"/>
          <w:spacing w:val="0"/>
          <w:sz w:val="28"/>
          <w:szCs w:val="28"/>
          <w:shd w:val="clear" w:color="070000" w:fill="FFFFFF"/>
          <w:lang w:val="en-US" w:eastAsia="zh-CN"/>
        </w:rPr>
        <w:t>1.现阶段，淄博居民的门诊慢特病和普通门诊可以在本院报销，淄博居民急诊、学生和儿童意外门诊医疗、门诊抗排异暂时无法在本院报销。</w:t>
      </w:r>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adjustRightInd/>
        <w:snapToGrid/>
        <w:spacing w:before="120" w:beforeAutospacing="0" w:after="120" w:afterAutospacing="0" w:line="560" w:lineRule="exact"/>
        <w:ind w:right="0"/>
        <w:jc w:val="both"/>
        <w:textAlignment w:val="auto"/>
        <w:rPr>
          <w:rFonts w:hint="eastAsia" w:asciiTheme="minorEastAsia" w:hAnsiTheme="minorEastAsia" w:eastAsiaTheme="minorEastAsia" w:cstheme="minorEastAsia"/>
          <w:i w:val="0"/>
          <w:iCs w:val="0"/>
          <w:caps w:val="0"/>
          <w:spacing w:val="0"/>
          <w:sz w:val="28"/>
          <w:szCs w:val="28"/>
          <w:shd w:val="clear" w:color="070000" w:fill="FFFFFF"/>
        </w:rPr>
      </w:pPr>
      <w:r>
        <w:rPr>
          <w:rFonts w:hint="eastAsia" w:asciiTheme="minorEastAsia" w:hAnsiTheme="minorEastAsia" w:eastAsiaTheme="minorEastAsia" w:cstheme="minorEastAsia"/>
          <w:i w:val="0"/>
          <w:iCs w:val="0"/>
          <w:caps w:val="0"/>
          <w:spacing w:val="0"/>
          <w:sz w:val="28"/>
          <w:szCs w:val="28"/>
          <w:shd w:val="clear" w:color="070000" w:fill="FFFFFF"/>
          <w:lang w:val="en-US" w:eastAsia="zh-CN"/>
        </w:rPr>
        <w:t>2</w:t>
      </w:r>
      <w:r>
        <w:rPr>
          <w:rFonts w:hint="eastAsia" w:asciiTheme="minorEastAsia" w:hAnsiTheme="minorEastAsia" w:eastAsiaTheme="minorEastAsia" w:cstheme="minorEastAsia"/>
          <w:i w:val="0"/>
          <w:iCs w:val="0"/>
          <w:caps w:val="0"/>
          <w:spacing w:val="0"/>
          <w:sz w:val="28"/>
          <w:szCs w:val="28"/>
          <w:shd w:val="clear" w:color="070000" w:fill="FFFFFF"/>
        </w:rPr>
        <w:t>.一个年度内，门诊慢性病起付标准与住院起付标准分开计算。</w:t>
      </w:r>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60000" w:fill="FFFFFF"/>
        <w:kinsoku/>
        <w:wordWrap/>
        <w:overflowPunct/>
        <w:topLinePunct w:val="0"/>
        <w:autoSpaceDE/>
        <w:autoSpaceDN/>
        <w:bidi w:val="0"/>
        <w:adjustRightInd/>
        <w:snapToGrid/>
        <w:spacing w:before="120" w:beforeAutospacing="0" w:after="120" w:afterAutospacing="0" w:line="560" w:lineRule="exact"/>
        <w:ind w:right="0"/>
        <w:jc w:val="both"/>
        <w:textAlignment w:val="auto"/>
        <w:rPr>
          <w:rFonts w:hint="eastAsia" w:asciiTheme="minorEastAsia" w:hAnsiTheme="minorEastAsia" w:eastAsiaTheme="minorEastAsia" w:cstheme="minorEastAsia"/>
          <w:i w:val="0"/>
          <w:iCs w:val="0"/>
          <w:caps w:val="0"/>
          <w:spacing w:val="0"/>
          <w:sz w:val="28"/>
          <w:szCs w:val="28"/>
          <w:shd w:val="clear" w:color="070000" w:fill="FFFFFF"/>
        </w:rPr>
      </w:pPr>
      <w:r>
        <w:rPr>
          <w:rFonts w:hint="eastAsia" w:asciiTheme="minorEastAsia" w:hAnsiTheme="minorEastAsia" w:eastAsiaTheme="minorEastAsia" w:cstheme="minorEastAsia"/>
          <w:i w:val="0"/>
          <w:iCs w:val="0"/>
          <w:caps w:val="0"/>
          <w:spacing w:val="0"/>
          <w:sz w:val="28"/>
          <w:szCs w:val="28"/>
          <w:shd w:val="clear" w:color="070000" w:fill="FFFFFF"/>
          <w:lang w:val="en-US" w:eastAsia="zh-CN"/>
        </w:rPr>
        <w:t>3.</w:t>
      </w:r>
      <w:r>
        <w:rPr>
          <w:rFonts w:hint="eastAsia" w:asciiTheme="minorEastAsia" w:hAnsiTheme="minorEastAsia" w:eastAsiaTheme="minorEastAsia" w:cstheme="minorEastAsia"/>
          <w:i w:val="0"/>
          <w:iCs w:val="0"/>
          <w:caps w:val="0"/>
          <w:spacing w:val="0"/>
          <w:sz w:val="28"/>
          <w:szCs w:val="28"/>
          <w:shd w:val="clear" w:color="070000" w:fill="FFFFFF"/>
        </w:rPr>
        <w:t>严重精神障碍（包含精神分裂症、分裂情感性障碍、偏执性精神病、双相情感障碍、癫痫所致精神障碍、精神发育迟滞伴发精神障碍等6种疾病）患者取消门诊慢特病起付线。严重精神障碍参保居民在门诊慢特病签约医疗机构治疗，政策范围内门诊医疗费用报销比例提高到70%。</w:t>
      </w:r>
    </w:p>
    <w:p>
      <w:pPr>
        <w:pStyle w:val="14"/>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Theme="minorEastAsia" w:hAnsiTheme="minorEastAsia" w:eastAsiaTheme="minorEastAsia" w:cstheme="minorEastAsia"/>
          <w:b/>
          <w:color w:val="000000"/>
          <w:kern w:val="0"/>
          <w:sz w:val="36"/>
          <w:szCs w:val="36"/>
          <w:lang w:val="en-US" w:eastAsia="zh-CN" w:bidi="ar-SA"/>
        </w:rPr>
      </w:pPr>
      <w:r>
        <w:rPr>
          <w:rFonts w:hint="eastAsia" w:asciiTheme="minorEastAsia" w:hAnsiTheme="minorEastAsia" w:eastAsiaTheme="minorEastAsia" w:cstheme="minorEastAsia"/>
          <w:b/>
          <w:color w:val="000000"/>
          <w:kern w:val="0"/>
          <w:sz w:val="36"/>
          <w:szCs w:val="36"/>
          <w:lang w:val="en-US" w:eastAsia="zh-CN" w:bidi="ar-SA"/>
        </w:rPr>
        <w:t>五、居民住院</w:t>
      </w:r>
    </w:p>
    <w:p>
      <w:pPr>
        <w:pStyle w:val="14"/>
        <w:widowControl/>
        <w:pBdr>
          <w:top w:val="none" w:color="auto" w:sz="0" w:space="0"/>
          <w:left w:val="none" w:color="auto" w:sz="0" w:space="0"/>
          <w:bottom w:val="none" w:color="auto" w:sz="0" w:space="0"/>
          <w:right w:val="none" w:color="auto" w:sz="0" w:space="0"/>
        </w:pBdr>
        <w:shd w:val="clear" w:color="060000" w:fill="FFFFFF"/>
        <w:spacing w:before="0" w:beforeAutospacing="0" w:after="0" w:afterAutospacing="0"/>
        <w:ind w:left="0" w:right="0" w:firstLine="1920" w:firstLineChars="600"/>
        <w:rPr>
          <w:rFonts w:hint="default" w:ascii="黑体" w:hAnsi="黑体" w:eastAsia="黑体" w:cs="黑体"/>
          <w:color w:val="auto"/>
          <w:kern w:val="0"/>
          <w:sz w:val="32"/>
          <w:szCs w:val="32"/>
          <w:lang w:val="en-US" w:eastAsia="zh-CN" w:bidi="ar-SA"/>
        </w:rPr>
      </w:pPr>
      <w:r>
        <w:rPr>
          <w:rFonts w:hint="eastAsia" w:ascii="黑体" w:hAnsi="黑体" w:eastAsia="黑体" w:cs="黑体"/>
          <w:color w:val="auto"/>
          <w:kern w:val="0"/>
          <w:sz w:val="32"/>
          <w:szCs w:val="32"/>
          <w:lang w:val="en-US" w:eastAsia="zh-CN" w:bidi="ar-SA"/>
        </w:rPr>
        <w:t>参保人住院医疗费用报销比例表（居民）</w:t>
      </w:r>
    </w:p>
    <w:tbl>
      <w:tblPr>
        <w:tblStyle w:val="15"/>
        <w:tblW w:w="9540" w:type="dxa"/>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50"/>
        <w:gridCol w:w="3822"/>
        <w:gridCol w:w="43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05" w:hRule="atLeast"/>
        </w:trPr>
        <w:tc>
          <w:tcPr>
            <w:tcW w:w="135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项目险种</w:t>
            </w:r>
          </w:p>
        </w:tc>
        <w:tc>
          <w:tcPr>
            <w:tcW w:w="382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基本医疗保险</w:t>
            </w:r>
          </w:p>
        </w:tc>
        <w:tc>
          <w:tcPr>
            <w:tcW w:w="4368"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城乡居民大病保险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9" w:hRule="atLeast"/>
        </w:trPr>
        <w:tc>
          <w:tcPr>
            <w:tcW w:w="135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p>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起付线</w:t>
            </w:r>
          </w:p>
        </w:tc>
        <w:tc>
          <w:tcPr>
            <w:tcW w:w="3822"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乡镇卫生院、社区卫生服务中心和一级医院100元，二级医院300元，三级医院700元。学生儿童起付线均为100元。</w:t>
            </w:r>
          </w:p>
        </w:tc>
        <w:tc>
          <w:tcPr>
            <w:tcW w:w="4368"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p>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1.8万元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6" w:hRule="atLeast"/>
        </w:trPr>
        <w:tc>
          <w:tcPr>
            <w:tcW w:w="135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封顶线</w:t>
            </w:r>
          </w:p>
        </w:tc>
        <w:tc>
          <w:tcPr>
            <w:tcW w:w="3822"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居民基本医保支付年度统筹限额20万元</w:t>
            </w:r>
          </w:p>
        </w:tc>
        <w:tc>
          <w:tcPr>
            <w:tcW w:w="4368"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年支付限额40万元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51" w:hRule="atLeast"/>
        </w:trPr>
        <w:tc>
          <w:tcPr>
            <w:tcW w:w="135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报销比例</w:t>
            </w:r>
          </w:p>
        </w:tc>
        <w:tc>
          <w:tcPr>
            <w:tcW w:w="3822"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实行基本药物制度的卫生院85%，其他一级医院75%，二级医院70%，三级医院60%。</w:t>
            </w:r>
          </w:p>
        </w:tc>
        <w:tc>
          <w:tcPr>
            <w:tcW w:w="4368"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14"/>
              <w:widowControl/>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aps w:val="0"/>
                <w:spacing w:val="8"/>
                <w:sz w:val="20"/>
                <w:szCs w:val="20"/>
              </w:rPr>
              <w:t>单次或多次住院需个人负担的合规医疗费用累计超过我付标准的金额：1.8万（含）-10万报销比例60%；10万（含）-20万报销比例65%；20万（含）-30万报销比例70%；30万以上报销比例75%。</w:t>
            </w:r>
          </w:p>
        </w:tc>
      </w:tr>
    </w:tbl>
    <w:p>
      <w:pPr>
        <w:pStyle w:val="14"/>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Theme="minorEastAsia" w:hAnsiTheme="minorEastAsia" w:eastAsiaTheme="minorEastAsia" w:cstheme="minorEastAsia"/>
          <w:b/>
          <w:color w:val="000000"/>
          <w:kern w:val="0"/>
          <w:sz w:val="36"/>
          <w:szCs w:val="36"/>
          <w:lang w:val="en-US" w:eastAsia="zh-CN" w:bidi="ar-SA"/>
        </w:rPr>
      </w:pPr>
      <w:r>
        <w:rPr>
          <w:rFonts w:hint="eastAsia" w:asciiTheme="minorEastAsia" w:hAnsiTheme="minorEastAsia" w:eastAsiaTheme="minorEastAsia" w:cstheme="minorEastAsia"/>
          <w:b/>
          <w:color w:val="000000"/>
          <w:kern w:val="0"/>
          <w:sz w:val="36"/>
          <w:szCs w:val="36"/>
          <w:lang w:val="en-US" w:eastAsia="zh-CN" w:bidi="ar-SA"/>
        </w:rPr>
        <w:t>六、大病保险政策</w:t>
      </w:r>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职工、居民大病保险个人不缴费，统一从基本医疗保险基金中划拨。</w:t>
      </w:r>
    </w:p>
    <w:p>
      <w:pPr>
        <w:pStyle w:val="14"/>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center"/>
        <w:textAlignment w:val="auto"/>
        <w:outlineLvl w:val="1"/>
        <w:rPr>
          <w:rFonts w:hint="eastAsia" w:asciiTheme="minorEastAsia" w:hAnsiTheme="minorEastAsia" w:eastAsiaTheme="minorEastAsia" w:cstheme="minorEastAsia"/>
          <w:b/>
          <w:color w:val="000000"/>
          <w:kern w:val="0"/>
          <w:sz w:val="32"/>
          <w:szCs w:val="32"/>
          <w:lang w:val="en-US" w:eastAsia="zh-CN" w:bidi="ar-SA"/>
        </w:rPr>
      </w:pPr>
      <w:bookmarkStart w:id="143" w:name="_Toc21275"/>
      <w:r>
        <w:rPr>
          <w:rFonts w:hint="eastAsia" w:asciiTheme="minorEastAsia" w:hAnsiTheme="minorEastAsia" w:eastAsiaTheme="minorEastAsia" w:cstheme="minorEastAsia"/>
          <w:b/>
          <w:color w:val="000000"/>
          <w:kern w:val="0"/>
          <w:sz w:val="32"/>
          <w:szCs w:val="32"/>
          <w:lang w:val="en-US" w:eastAsia="zh-CN" w:bidi="ar-SA"/>
        </w:rPr>
        <w:t>（职工、居民）大病保险支付比例表</w:t>
      </w:r>
      <w:bookmarkEnd w:id="143"/>
    </w:p>
    <w:tbl>
      <w:tblPr>
        <w:tblStyle w:val="15"/>
        <w:tblW w:w="875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44"/>
        <w:gridCol w:w="48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个人负担的合规费用</w:t>
            </w:r>
          </w:p>
        </w:tc>
        <w:tc>
          <w:tcPr>
            <w:tcW w:w="4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支付</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1.8万（含）-10万</w:t>
            </w:r>
          </w:p>
        </w:tc>
        <w:tc>
          <w:tcPr>
            <w:tcW w:w="4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10万（含）-20万</w:t>
            </w:r>
          </w:p>
        </w:tc>
        <w:tc>
          <w:tcPr>
            <w:tcW w:w="4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20万（含）-30万</w:t>
            </w:r>
          </w:p>
        </w:tc>
        <w:tc>
          <w:tcPr>
            <w:tcW w:w="4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30万及以上</w:t>
            </w:r>
          </w:p>
        </w:tc>
        <w:tc>
          <w:tcPr>
            <w:tcW w:w="4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起付线1.8万，年支付限额40万    </w:t>
            </w:r>
          </w:p>
        </w:tc>
      </w:tr>
    </w:tbl>
    <w:p>
      <w:pPr>
        <w:pStyle w:val="2"/>
        <w:numPr>
          <w:ilvl w:val="0"/>
          <w:numId w:val="0"/>
        </w:numPr>
        <w:spacing w:before="0" w:after="0" w:line="240" w:lineRule="auto"/>
        <w:jc w:val="center"/>
        <w:outlineLvl w:val="1"/>
        <w:rPr>
          <w:rFonts w:hint="eastAsia" w:asciiTheme="majorEastAsia" w:hAnsiTheme="majorEastAsia" w:eastAsiaTheme="majorEastAsia" w:cstheme="majorEastAsia"/>
          <w:sz w:val="44"/>
          <w:szCs w:val="44"/>
          <w:lang w:val="en-US" w:eastAsia="zh-CN"/>
        </w:rPr>
      </w:pPr>
      <w:bookmarkStart w:id="144" w:name="_Toc22121"/>
      <w:bookmarkStart w:id="145" w:name="_Toc1176"/>
      <w:r>
        <w:rPr>
          <w:rFonts w:hint="eastAsia" w:asciiTheme="majorEastAsia" w:hAnsiTheme="majorEastAsia" w:eastAsiaTheme="majorEastAsia" w:cstheme="majorEastAsia"/>
          <w:sz w:val="44"/>
          <w:szCs w:val="44"/>
          <w:lang w:val="en-US" w:eastAsia="zh-CN"/>
        </w:rPr>
        <w:t>第十八章 东营医保政策</w:t>
      </w:r>
      <w:bookmarkEnd w:id="144"/>
      <w:bookmarkEnd w:id="145"/>
    </w:p>
    <w:p>
      <w:pPr>
        <w:keepNext/>
        <w:keepLines/>
        <w:pageBreakBefore w:val="0"/>
        <w:widowControl w:val="0"/>
        <w:numPr>
          <w:ilvl w:val="0"/>
          <w:numId w:val="53"/>
        </w:numPr>
        <w:kinsoku/>
        <w:wordWrap/>
        <w:overflowPunct/>
        <w:topLinePunct w:val="0"/>
        <w:autoSpaceDE/>
        <w:autoSpaceDN/>
        <w:bidi w:val="0"/>
        <w:adjustRightInd/>
        <w:snapToGrid/>
        <w:spacing w:before="0" w:after="0" w:line="560" w:lineRule="exact"/>
        <w:ind w:leftChars="0"/>
        <w:textAlignment w:val="auto"/>
        <w:outlineLvl w:val="9"/>
        <w:rPr>
          <w:rFonts w:hint="eastAsia" w:asciiTheme="minorEastAsia" w:hAnsiTheme="minorEastAsia" w:eastAsiaTheme="minorEastAsia" w:cstheme="minorEastAsia"/>
          <w:b/>
          <w:bCs w:val="0"/>
          <w:color w:val="000000"/>
          <w:kern w:val="0"/>
          <w:sz w:val="36"/>
          <w:szCs w:val="36"/>
          <w:lang w:val="en-US" w:eastAsia="zh-CN"/>
        </w:rPr>
      </w:pPr>
      <w:bookmarkStart w:id="146" w:name="_Toc28527"/>
      <w:r>
        <w:rPr>
          <w:rFonts w:hint="eastAsia" w:asciiTheme="minorEastAsia" w:hAnsiTheme="minorEastAsia" w:eastAsiaTheme="minorEastAsia" w:cstheme="minorEastAsia"/>
          <w:b/>
          <w:bCs w:val="0"/>
          <w:color w:val="000000"/>
          <w:kern w:val="0"/>
          <w:sz w:val="36"/>
          <w:szCs w:val="36"/>
          <w:lang w:val="en-US" w:eastAsia="zh-CN"/>
        </w:rPr>
        <w:t>东营职工医保政策</w:t>
      </w:r>
      <w:bookmarkEnd w:id="146"/>
    </w:p>
    <w:p>
      <w:pPr>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1920" w:firstLineChars="600"/>
        <w:textAlignment w:val="auto"/>
        <w:outlineLvl w:val="9"/>
        <w:rPr>
          <w:rFonts w:hint="eastAsia" w:ascii="黑体" w:hAnsi="黑体" w:eastAsia="黑体" w:cs="黑体"/>
          <w:b w:val="0"/>
          <w:bCs w:val="0"/>
          <w:color w:val="auto"/>
          <w:kern w:val="0"/>
          <w:sz w:val="32"/>
          <w:szCs w:val="32"/>
          <w:lang w:val="en-US" w:eastAsia="zh-CN" w:bidi="ar-SA"/>
        </w:rPr>
      </w:pPr>
      <w:r>
        <w:rPr>
          <w:rFonts w:hint="eastAsia" w:ascii="黑体" w:hAnsi="黑体" w:eastAsia="黑体" w:cs="黑体"/>
          <w:b w:val="0"/>
          <w:bCs w:val="0"/>
          <w:color w:val="auto"/>
          <w:kern w:val="0"/>
          <w:sz w:val="32"/>
          <w:szCs w:val="32"/>
          <w:lang w:val="en-US" w:eastAsia="zh-CN" w:bidi="ar-SA"/>
        </w:rPr>
        <w:t>东营市职工2024年基本医疗保险政策汇总</w:t>
      </w:r>
    </w:p>
    <w:p>
      <w:pPr>
        <w:rPr>
          <w:rFonts w:hint="default"/>
          <w:lang w:val="en-US" w:eastAsia="zh-CN"/>
        </w:rPr>
      </w:pPr>
      <w:r>
        <w:rPr>
          <w:rFonts w:hint="default" w:ascii="等线" w:hAnsi="等线" w:eastAsia="等线" w:cs="黑体"/>
          <w:kern w:val="2"/>
          <w:sz w:val="21"/>
          <w:szCs w:val="24"/>
          <w:lang w:val="en-US" w:eastAsia="zh-CN" w:bidi="ar-SA"/>
        </w:rPr>
        <w:pict>
          <v:shape id="_x0000_i1027" o:spt="75" type="#_x0000_t75" style="height:631.15pt;width:481.35pt;" filled="f" o:preferrelative="t" stroked="f" coordsize="21600,21600">
            <v:path/>
            <v:fill on="f" focussize="0,0"/>
            <v:stroke on="f"/>
            <v:imagedata r:id="rId58" blacklevel="0f" o:title=""/>
            <o:lock v:ext="edit" aspectratio="t"/>
            <w10:wrap type="none"/>
            <w10:anchorlock/>
          </v:shape>
        </w:pict>
      </w:r>
    </w:p>
    <w:p>
      <w:pPr>
        <w:keepNext/>
        <w:keepLines/>
        <w:pageBreakBefore w:val="0"/>
        <w:widowControl w:val="0"/>
        <w:numPr>
          <w:ilvl w:val="0"/>
          <w:numId w:val="53"/>
        </w:numPr>
        <w:kinsoku/>
        <w:wordWrap/>
        <w:overflowPunct/>
        <w:topLinePunct w:val="0"/>
        <w:autoSpaceDE/>
        <w:autoSpaceDN/>
        <w:bidi w:val="0"/>
        <w:adjustRightInd/>
        <w:snapToGrid/>
        <w:spacing w:before="0" w:after="0" w:line="560" w:lineRule="exact"/>
        <w:ind w:leftChars="0"/>
        <w:textAlignment w:val="auto"/>
        <w:outlineLvl w:val="9"/>
        <w:rPr>
          <w:rFonts w:hint="eastAsia" w:asciiTheme="minorEastAsia" w:hAnsiTheme="minorEastAsia" w:eastAsiaTheme="minorEastAsia" w:cstheme="minorEastAsia"/>
          <w:b/>
          <w:bCs w:val="0"/>
          <w:color w:val="000000"/>
          <w:kern w:val="0"/>
          <w:sz w:val="36"/>
          <w:szCs w:val="36"/>
          <w:lang w:val="en-US" w:eastAsia="zh-CN"/>
        </w:rPr>
      </w:pPr>
      <w:bookmarkStart w:id="147" w:name="_Toc30585"/>
      <w:r>
        <w:rPr>
          <w:rFonts w:hint="eastAsia" w:asciiTheme="minorEastAsia" w:hAnsiTheme="minorEastAsia" w:eastAsiaTheme="minorEastAsia" w:cstheme="minorEastAsia"/>
          <w:b/>
          <w:bCs w:val="0"/>
          <w:color w:val="000000"/>
          <w:kern w:val="0"/>
          <w:sz w:val="36"/>
          <w:szCs w:val="36"/>
          <w:lang w:val="en-US" w:eastAsia="zh-CN"/>
        </w:rPr>
        <w:t>东营居民医保政策</w:t>
      </w:r>
      <w:bookmarkEnd w:id="147"/>
    </w:p>
    <w:p>
      <w:pPr>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1920" w:firstLineChars="600"/>
        <w:textAlignment w:val="auto"/>
        <w:outlineLvl w:val="9"/>
        <w:rPr>
          <w:rFonts w:hint="eastAsia" w:ascii="黑体" w:hAnsi="黑体" w:eastAsia="黑体" w:cs="黑体"/>
          <w:b w:val="0"/>
          <w:bCs w:val="0"/>
          <w:color w:val="auto"/>
          <w:kern w:val="0"/>
          <w:sz w:val="32"/>
          <w:szCs w:val="32"/>
          <w:lang w:val="en-US" w:eastAsia="zh-CN" w:bidi="ar-SA"/>
        </w:rPr>
      </w:pPr>
      <w:r>
        <w:rPr>
          <w:rFonts w:hint="eastAsia" w:ascii="黑体" w:hAnsi="黑体" w:eastAsia="黑体" w:cs="黑体"/>
          <w:b w:val="0"/>
          <w:bCs w:val="0"/>
          <w:color w:val="auto"/>
          <w:kern w:val="0"/>
          <w:sz w:val="32"/>
          <w:szCs w:val="32"/>
          <w:lang w:val="en-US" w:eastAsia="zh-CN" w:bidi="ar-SA"/>
        </w:rPr>
        <w:t>东营市居民2024年基本医疗保险政策汇总</w:t>
      </w:r>
    </w:p>
    <w:p>
      <w:pPr>
        <w:rPr>
          <w:rFonts w:hint="default" w:ascii="仿宋" w:hAnsi="仿宋" w:eastAsia="仿宋"/>
          <w:sz w:val="32"/>
          <w:lang w:val="en-US" w:eastAsia="zh-CN"/>
        </w:rPr>
      </w:pPr>
      <w:r>
        <w:rPr>
          <w:rFonts w:hint="default" w:ascii="仿宋" w:hAnsi="仿宋" w:eastAsia="仿宋" w:cs="黑体"/>
          <w:kern w:val="2"/>
          <w:sz w:val="32"/>
          <w:szCs w:val="24"/>
          <w:lang w:val="en-US" w:eastAsia="zh-CN" w:bidi="ar-SA"/>
        </w:rPr>
        <w:pict>
          <v:shape id="_x0000_i1028" o:spt="75" type="#_x0000_t75" style="height:558.8pt;width:483.15pt;" filled="f" o:preferrelative="t" stroked="f" coordsize="21600,21600">
            <v:path/>
            <v:fill on="f" focussize="0,0"/>
            <v:stroke on="f"/>
            <v:imagedata r:id="rId59" blacklevel="0f" o:title=""/>
            <o:lock v:ext="edit" aspectratio="t"/>
            <w10:wrap type="none"/>
            <w10:anchorlock/>
          </v:shape>
        </w:pict>
      </w:r>
    </w:p>
    <w:p>
      <w:pPr>
        <w:pStyle w:val="14"/>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Theme="minorEastAsia" w:hAnsiTheme="minorEastAsia" w:eastAsiaTheme="minorEastAsia" w:cstheme="minorEastAsia"/>
          <w:color w:val="000000"/>
          <w:kern w:val="0"/>
          <w:sz w:val="28"/>
          <w:szCs w:val="28"/>
          <w:lang w:val="en-US" w:eastAsia="zh-CN"/>
        </w:rPr>
      </w:pPr>
    </w:p>
    <w:p>
      <w:pPr>
        <w:pStyle w:val="14"/>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Theme="minorEastAsia" w:hAnsiTheme="minorEastAsia" w:eastAsiaTheme="minorEastAsia" w:cstheme="minorEastAsia"/>
          <w:color w:val="000000"/>
          <w:kern w:val="0"/>
          <w:sz w:val="28"/>
          <w:szCs w:val="28"/>
          <w:lang w:val="en-US" w:eastAsia="zh-CN"/>
        </w:rPr>
      </w:pPr>
    </w:p>
    <w:p>
      <w:pPr>
        <w:pStyle w:val="14"/>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Theme="minorEastAsia" w:hAnsiTheme="minorEastAsia" w:eastAsiaTheme="minorEastAsia" w:cstheme="minorEastAsia"/>
          <w:color w:val="000000"/>
          <w:kern w:val="0"/>
          <w:sz w:val="28"/>
          <w:szCs w:val="28"/>
          <w:lang w:val="en-US" w:eastAsia="zh-CN"/>
        </w:rPr>
      </w:pPr>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center"/>
        <w:textAlignment w:val="auto"/>
        <w:outlineLvl w:val="0"/>
        <w:rPr>
          <w:rFonts w:hint="eastAsia" w:asciiTheme="majorEastAsia" w:hAnsiTheme="majorEastAsia" w:eastAsiaTheme="majorEastAsia" w:cstheme="majorEastAsia"/>
          <w:b/>
          <w:bCs/>
          <w:kern w:val="44"/>
          <w:sz w:val="48"/>
          <w:szCs w:val="48"/>
          <w:lang w:val="en-US" w:eastAsia="zh-CN" w:bidi="ar-SA"/>
        </w:rPr>
      </w:pPr>
      <w:bookmarkStart w:id="148" w:name="_Toc3169"/>
      <w:bookmarkStart w:id="149" w:name="_Toc13266"/>
      <w:r>
        <w:rPr>
          <w:rFonts w:hint="eastAsia" w:asciiTheme="majorEastAsia" w:hAnsiTheme="majorEastAsia" w:eastAsiaTheme="majorEastAsia" w:cstheme="majorEastAsia"/>
          <w:b/>
          <w:bCs/>
          <w:kern w:val="44"/>
          <w:sz w:val="48"/>
          <w:szCs w:val="48"/>
          <w:lang w:val="en-US" w:eastAsia="zh-CN" w:bidi="ar-SA"/>
        </w:rPr>
        <w:t>第三部分 其他医保政策</w:t>
      </w:r>
      <w:bookmarkEnd w:id="148"/>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Theme="majorEastAsia" w:hAnsiTheme="majorEastAsia" w:eastAsiaTheme="majorEastAsia" w:cstheme="majorEastAsia"/>
          <w:b/>
          <w:bCs/>
          <w:kern w:val="44"/>
          <w:sz w:val="48"/>
          <w:szCs w:val="48"/>
          <w:lang w:val="en-US" w:eastAsia="zh-CN" w:bidi="ar-SA"/>
        </w:rPr>
      </w:pPr>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center"/>
        <w:textAlignment w:val="auto"/>
        <w:outlineLvl w:val="1"/>
        <w:rPr>
          <w:rFonts w:hint="eastAsia" w:asciiTheme="majorEastAsia" w:hAnsiTheme="majorEastAsia" w:eastAsiaTheme="majorEastAsia" w:cstheme="majorEastAsia"/>
          <w:b/>
          <w:bCs/>
          <w:kern w:val="44"/>
          <w:sz w:val="44"/>
          <w:szCs w:val="44"/>
          <w:lang w:val="en-US" w:eastAsia="zh-CN" w:bidi="ar-SA"/>
        </w:rPr>
      </w:pPr>
      <w:bookmarkStart w:id="150" w:name="_Toc5637"/>
      <w:r>
        <w:rPr>
          <w:rFonts w:hint="eastAsia" w:asciiTheme="majorEastAsia" w:hAnsiTheme="majorEastAsia" w:eastAsiaTheme="majorEastAsia" w:cstheme="majorEastAsia"/>
          <w:b/>
          <w:bCs/>
          <w:kern w:val="44"/>
          <w:sz w:val="44"/>
          <w:szCs w:val="44"/>
          <w:lang w:val="en-US" w:eastAsia="zh-CN" w:bidi="ar-SA"/>
        </w:rPr>
        <w:t>第十九章 医保基金不予支付的情形</w:t>
      </w:r>
      <w:bookmarkEnd w:id="114"/>
      <w:bookmarkEnd w:id="115"/>
      <w:bookmarkEnd w:id="149"/>
      <w:bookmarkEnd w:id="150"/>
    </w:p>
    <w:p>
      <w:pPr>
        <w:pStyle w:val="14"/>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一、应当从工伤保险基金中支付的医疗费用；</w:t>
      </w:r>
    </w:p>
    <w:p>
      <w:pPr>
        <w:pStyle w:val="14"/>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二、应当由第三人负担的医疗费用；</w:t>
      </w:r>
    </w:p>
    <w:p>
      <w:pPr>
        <w:pStyle w:val="14"/>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三、应当由公共卫生负担的医疗费用；</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四、在境外就医的医疗费用；</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五、其他不符合医保基金规定支付范围的医疗费用；</w:t>
      </w:r>
    </w:p>
    <w:p>
      <w:pPr>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kern w:val="0"/>
          <w:sz w:val="28"/>
          <w:szCs w:val="28"/>
          <w:lang w:val="en-US" w:eastAsia="zh-CN"/>
        </w:rPr>
        <w:t>六、参保人员发生的由基本医疗保险基金支付的医药费用，职工普通门诊费用应于当年12月31日前报结；职工和居民慢性病费用最迟应于次年的6月30日前报结，逾期不予支付。</w:t>
      </w:r>
      <w:bookmarkStart w:id="151" w:name="_Toc30215"/>
      <w:bookmarkStart w:id="152" w:name="_Toc23944"/>
    </w:p>
    <w:p>
      <w:pPr>
        <w:pStyle w:val="2"/>
        <w:pageBreakBefore w:val="0"/>
        <w:kinsoku/>
        <w:wordWrap/>
        <w:overflowPunct/>
        <w:topLinePunct w:val="0"/>
        <w:autoSpaceDE/>
        <w:autoSpaceDN/>
        <w:bidi w:val="0"/>
        <w:adjustRightInd/>
        <w:snapToGrid/>
        <w:spacing w:before="0" w:after="0" w:line="560" w:lineRule="exact"/>
        <w:jc w:val="center"/>
        <w:textAlignment w:val="auto"/>
        <w:outlineLvl w:val="9"/>
        <w:rPr>
          <w:rFonts w:hint="eastAsia" w:asciiTheme="minorEastAsia" w:hAnsiTheme="minorEastAsia" w:eastAsiaTheme="minorEastAsia" w:cstheme="minorEastAsia"/>
          <w:sz w:val="44"/>
          <w:szCs w:val="44"/>
          <w:lang w:val="en-US" w:eastAsia="zh-CN"/>
        </w:rPr>
      </w:pPr>
    </w:p>
    <w:p>
      <w:pPr>
        <w:pStyle w:val="14"/>
        <w:keepNext w:val="0"/>
        <w:keepLines w:val="0"/>
        <w:pageBreakBefore w:val="0"/>
        <w:widowControl/>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center"/>
        <w:textAlignment w:val="auto"/>
        <w:outlineLvl w:val="1"/>
        <w:rPr>
          <w:rFonts w:hint="eastAsia" w:asciiTheme="majorEastAsia" w:hAnsiTheme="majorEastAsia" w:eastAsiaTheme="majorEastAsia" w:cstheme="majorEastAsia"/>
          <w:b/>
          <w:bCs/>
          <w:kern w:val="44"/>
          <w:sz w:val="44"/>
          <w:szCs w:val="44"/>
          <w:lang w:val="en-US" w:eastAsia="zh-CN" w:bidi="ar-SA"/>
        </w:rPr>
      </w:pPr>
      <w:bookmarkStart w:id="153" w:name="_Toc13158"/>
      <w:bookmarkStart w:id="154" w:name="_Toc29923"/>
      <w:r>
        <w:rPr>
          <w:rFonts w:hint="eastAsia" w:asciiTheme="majorEastAsia" w:hAnsiTheme="majorEastAsia" w:eastAsiaTheme="majorEastAsia" w:cstheme="majorEastAsia"/>
          <w:b/>
          <w:bCs/>
          <w:kern w:val="44"/>
          <w:sz w:val="44"/>
          <w:szCs w:val="44"/>
          <w:lang w:val="en-US" w:eastAsia="zh-CN" w:bidi="ar-SA"/>
        </w:rPr>
        <w:t>第二十章 定点医疗机构违规</w:t>
      </w:r>
      <w:bookmarkEnd w:id="151"/>
      <w:bookmarkEnd w:id="152"/>
      <w:bookmarkEnd w:id="153"/>
      <w:r>
        <w:rPr>
          <w:rFonts w:hint="eastAsia" w:asciiTheme="majorEastAsia" w:hAnsiTheme="majorEastAsia" w:eastAsiaTheme="majorEastAsia" w:cstheme="majorEastAsia"/>
          <w:b/>
          <w:bCs/>
          <w:kern w:val="44"/>
          <w:sz w:val="44"/>
          <w:szCs w:val="44"/>
          <w:lang w:val="en-US" w:eastAsia="zh-CN" w:bidi="ar-SA"/>
        </w:rPr>
        <w:t>行为</w:t>
      </w:r>
      <w:bookmarkEnd w:id="154"/>
    </w:p>
    <w:p>
      <w:pPr>
        <w:pStyle w:val="14"/>
        <w:keepNext w:val="0"/>
        <w:keepLines w:val="0"/>
        <w:pageBreakBefore w:val="0"/>
        <w:widowControl/>
        <w:numPr>
          <w:ilvl w:val="0"/>
          <w:numId w:val="54"/>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Theme="minorEastAsia" w:hAnsiTheme="minorEastAsia" w:eastAsiaTheme="minorEastAsia" w:cstheme="minorEastAsia"/>
          <w:b/>
          <w:bCs/>
          <w:kern w:val="44"/>
          <w:sz w:val="36"/>
          <w:szCs w:val="36"/>
          <w:lang w:val="en-US" w:eastAsia="zh-CN" w:bidi="ar-SA"/>
        </w:rPr>
      </w:pPr>
      <w:r>
        <w:rPr>
          <w:rFonts w:hint="eastAsia" w:asciiTheme="minorEastAsia" w:hAnsiTheme="minorEastAsia" w:eastAsiaTheme="minorEastAsia" w:cstheme="minorEastAsia"/>
          <w:b/>
          <w:bCs/>
          <w:kern w:val="44"/>
          <w:sz w:val="36"/>
          <w:szCs w:val="36"/>
          <w:lang w:val="en-US" w:eastAsia="zh-CN" w:bidi="ar-SA"/>
        </w:rPr>
        <w:t>违规行为种类</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lang w:val="en-US" w:eastAsia="zh-CN"/>
        </w:rPr>
        <w:t>1）</w:t>
      </w:r>
      <w:r>
        <w:rPr>
          <w:rFonts w:hint="eastAsia" w:asciiTheme="minorEastAsia" w:hAnsiTheme="minorEastAsia" w:eastAsiaTheme="minorEastAsia" w:cstheme="minorEastAsia"/>
          <w:color w:val="auto"/>
          <w:sz w:val="28"/>
          <w:szCs w:val="28"/>
          <w:highlight w:val="none"/>
        </w:rPr>
        <w:t>挂床住院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（二）分解住院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（三）虚假病历（住院）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（四）挂名住院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（五）冒名顶替</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（六）过度医疗</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（七）降低住院标准</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（八）推诿拒收</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（九）串换项目</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（十）破坏医保制度、恶意竞争</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（十一）违规收费</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（十二）搭车治疗</w:t>
      </w:r>
    </w:p>
    <w:p>
      <w:pPr>
        <w:kinsoku/>
        <w:spacing w:line="360" w:lineRule="auto"/>
        <w:ind w:firstLine="560"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color w:val="auto"/>
          <w:sz w:val="28"/>
          <w:szCs w:val="28"/>
          <w:highlight w:val="none"/>
        </w:rPr>
        <w:t>（十三）其他违规行为</w:t>
      </w:r>
      <w:r>
        <w:rPr>
          <w:rFonts w:hint="eastAsia" w:asciiTheme="minorEastAsia" w:hAnsiTheme="minorEastAsia" w:eastAsiaTheme="minorEastAsia" w:cstheme="minorEastAsia"/>
          <w:b/>
          <w:bCs/>
          <w:color w:val="auto"/>
          <w:sz w:val="28"/>
          <w:szCs w:val="28"/>
          <w:highlight w:val="none"/>
        </w:rPr>
        <w:t xml:space="preserve"> </w:t>
      </w:r>
    </w:p>
    <w:p>
      <w:pPr>
        <w:pStyle w:val="14"/>
        <w:keepNext w:val="0"/>
        <w:keepLines w:val="0"/>
        <w:pageBreakBefore w:val="0"/>
        <w:widowControl/>
        <w:numPr>
          <w:ilvl w:val="0"/>
          <w:numId w:val="54"/>
        </w:numPr>
        <w:pBdr>
          <w:top w:val="none" w:color="auto" w:sz="0" w:space="0"/>
          <w:left w:val="none" w:color="auto" w:sz="0" w:space="0"/>
          <w:bottom w:val="none" w:color="auto" w:sz="0" w:space="0"/>
          <w:right w:val="none" w:color="auto" w:sz="0" w:space="0"/>
        </w:pBdr>
        <w:shd w:val="clear" w:color="070000" w:fill="FFFFFF"/>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Theme="minorEastAsia" w:hAnsiTheme="minorEastAsia" w:eastAsiaTheme="minorEastAsia" w:cstheme="minorEastAsia"/>
          <w:b/>
          <w:bCs/>
          <w:kern w:val="44"/>
          <w:sz w:val="36"/>
          <w:szCs w:val="36"/>
          <w:lang w:val="en-US" w:eastAsia="zh-CN" w:bidi="ar-SA"/>
        </w:rPr>
      </w:pPr>
      <w:r>
        <w:rPr>
          <w:rFonts w:hint="eastAsia" w:asciiTheme="minorEastAsia" w:hAnsiTheme="minorEastAsia" w:eastAsiaTheme="minorEastAsia" w:cstheme="minorEastAsia"/>
          <w:b/>
          <w:bCs/>
          <w:kern w:val="44"/>
          <w:sz w:val="36"/>
          <w:szCs w:val="36"/>
          <w:lang w:val="en-US" w:eastAsia="zh-CN" w:bidi="ar-SA"/>
        </w:rPr>
        <w:t>违规住院标准</w:t>
      </w:r>
    </w:p>
    <w:p>
      <w:pPr>
        <w:kinsoku/>
        <w:spacing w:line="360" w:lineRule="auto"/>
        <w:ind w:firstLine="562" w:firstLineChars="200"/>
        <w:jc w:val="both"/>
        <w:outlineLvl w:val="9"/>
        <w:rPr>
          <w:rFonts w:hint="eastAsia" w:asciiTheme="minorEastAsia" w:hAnsiTheme="minorEastAsia" w:eastAsiaTheme="minorEastAsia" w:cstheme="minorEastAsia"/>
          <w:b/>
          <w:bCs/>
          <w:color w:val="auto"/>
          <w:sz w:val="28"/>
          <w:szCs w:val="28"/>
          <w:highlight w:val="none"/>
        </w:rPr>
      </w:pPr>
      <w:bookmarkStart w:id="155" w:name="_Toc20493"/>
      <w:bookmarkStart w:id="156" w:name="_Toc17566"/>
      <w:r>
        <w:rPr>
          <w:rFonts w:hint="eastAsia" w:asciiTheme="minorEastAsia" w:hAnsiTheme="minorEastAsia" w:eastAsiaTheme="minorEastAsia" w:cstheme="minorEastAsia"/>
          <w:b/>
          <w:bCs/>
          <w:color w:val="auto"/>
          <w:sz w:val="28"/>
          <w:szCs w:val="28"/>
          <w:highlight w:val="none"/>
        </w:rPr>
        <w:t>（一）挂床住院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符合下列情况之一者，即视为挂床住院。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1、病人住院期间，累计请假次数超过3次的，或住院科室一天中请假人数超过该科室总住院人次的10%的，超出部分记为挂床住院。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病人住院期间，当班医护有交班记录、相关病历资料有明确体现（住院病人需到上级医院进一步确诊的除外，但必须提供外诊相关病历资料并在病程记录上进行记载），没有办理离院外出手续（离院外出手续包括规范签订劝阻住院患者外出告知书 ）但病人不在医院的。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3、参保病人入院48小时内，病历资料缺入院记录、首次病程记录、长期医嘱以及临时医嘱等项目中任意一项的。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4、参保病人入院48小时内，无实质性诊疗的。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5、参保患者住院治疗期间，病历记录显示为一级护理，患者不在床接受治疗的（院内检查、治疗情况除外）。</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6、参保病人在住院期间无固定床位的，或与其他人共用床位以及与主管医生、护士及病人提供的床位号不相符的（另有规定的除外）。</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7、一床设有多人床头卡的；住院一览表中显示一床多人的;医疗文书等记录一床多人的。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8、参保病人住院期间在单位上班或回家休养的。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9、参保病人入院后，定点医疗机构在72小时内未及时将病人相关信息登记上传至医保数据信息系统，且未按医保规定办理相关手续的。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10、病人已经出院，定点医疗机构无正当理由未能及时办理出院手续的，或无正当理由，虽已为病人下达出院医嘱，但显然违反正常出院流程的。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11、病人已办理出院手续，但在24小时内未上传出院信息数据的；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12、其他可以认定为挂床住院的行为。</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（二）分解住院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符合下列情况之一的，即视为分解住院。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1、在同一所医院，以转科治疗形式为病人重新办理出入院手续的。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2、在同一所医院的同一科室，因非同一疾病连续重新办理出入院手续的。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3、不符合出院标准，而让其转为自费一段时间后，再重新入院的或假出入院。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4、在15日内非因突发危急重症因同一种疾病又入同一所医院住院或以其他诊断入院，但主要治疗疾病仍同前次住院（相应疾病指南有具体规定的除外）。</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5、其它可以认定为分解住院的行为。</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（三）虚假病历（住院）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有下列情形之一，即视为虚假病历（住院）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1、病历中医嘱或病程记录与参保人实际病情不符。</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2、病历中疾病诊断与治疗记录（药品、护理记录）不相符。</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3、伪造病历关键内容。</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4、病历书写严重违反《病历书写规范》。</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5、利用参保人身份信息办理住院，而参保人未患病住院的。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6、其他可以认定为虚假住院的情况。</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（四）挂名住院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符合下列情况之一的即属于挂名住院。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1、有病历记录，无实人住院。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2、有床位记录，无实人住院。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3、按床日结算的病号离院的。</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（五）冒名顶替</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利用参保人身份信息办理住院，而参保人未患病住院的。</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（六）过度医疗</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符合下列情况之一的，视为过度医疗：</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1、违反临床用药常规和联合用药原则不合理或超范围、超剂量的用药；或医疗机构有意使用高价药品。</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2、不合理或超常规量使用一次性耗材；有意使用高值耗材。</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参保患者在治疗期间，无明显指征，医疗机构对其进行同一项目或类似项目多次检查；同一患者短期内多次住院且接受重复或类似检查的。大型设备诊查能够一次确诊，却重复使用其他大型设备诊查同种疾病；或有意选择费用高的辅助检查。</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违反《医疗技术临床应用管理办法》、手术分级和安全核查制度，放宽或降低手术指征实施手术治疗或频繁进行同一种医疗技术（包括理疗、康复项目；静点或肌注药物、抢救、血气分析、抽取积液等特殊操作除外）。</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5、其他可以认定为过度诊疗的情况。</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（七）降低住院标准</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符合下列情况之一的，视为降低标准住院：</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定点医疗机构违反卫健部门制定的住院标准《临床诊疗指南》，将无入院指征可在门诊治疗的患者收治住院的。包括：病情简单诊断明确，以口服药治疗为主收治入院的如慢性胃炎、盆腔炎等；门诊常见疾病、手术可在门诊或门诊观察治疗却收治住院的，如小的体表肿块、单纯包茎、术后拔管、口腔门诊治疗等。</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2、病人在院期间只做各项检验、检查和简单治疗的，以健康查体为主要目的。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3、病种或病情与收治病区（科室）专业不相关的。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4、病情稳定的肿瘤、脑卒中患者，收住院后以口服药物治疗为主的。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5、向病人过分渲染疾病的危害性或者以住院可以报销诱导病人住院接受治疗的。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6、其他认定为降低住院标准的情况。</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（八）推诿拒收</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符合下列情况之一的，视为推诿拒收病人：</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1、违反首诊负责制，医师推诿拒收符合入院条件的病人住院治疗的。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2、属于急诊范围的疾病或症状，医院有能力收治而拒不收治的。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3、医院相应科室有床位，但以无床位为理由拒绝收治患者。</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4、没有合理理由要求病人转院转科治疗的。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5、强行为未达到出院标准的参保人员办理出院手续。</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6、参保病人实名举报医院推诿病人，并经医保部门调查属实的。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7、其他认定为推诿拒收的情况。</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（九）串换项目</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1、无视项目内涵，用低标准的收费项目套用高标准的收费项目名称，或用无收费标准的项目套用相近相似的收费项目名称。</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2、将不能报销的项目变通为能报销的项目上传并实现医保报销的行为。</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3、其他认定为串换项目的情况。</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（十）破坏医保制度、恶意竞争</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符合下列情况之一的，视为破坏医保制度、恶意竞争：</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1、利用义诊活动、免费体检、提供免费餐饮、免费接送等手段诱导收治无住院指征的参保人员。</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2、向参保人员宣传住院费用全额（高额）报销、减免起付标准、现金返还、就医账户返还、减免个人自费虚假宣传、返现回扣、赠送礼品等引诱参保患者住院的。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3、以慈善、社会救助、医保定点等方式，诱导低保户、五保户、残疾人、民政救助人员住院的。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4、故意夸大门诊检查、体检等结果，哄吓参保人员住院的。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5、诱导参保人住院的其他行为。</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（十一）违规收费</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不合理收费是指定点医疗机构违反医疗服务价格政策，或违反药品、耗材价格政策等收取费用的行为，通常分为：分解收费、超标准收费、重复收费、自立项目收费、套用项目收费等。</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1、分解收费</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是指将医保目录内的一个收费项目分解为两个及以上不同项目进行收费。</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2、超标准收费</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违反定价等规定，超出标准的收费行为。</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3、自立项目收费</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非营利性医疗机构自设项目收费的。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4、重复收费</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违反医疗服务项目目录和基本医疗操作规范，在同一治疗过程中，同种或同类收费项目，进行多次、重复收费的。</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5、虚增费用</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参保患者病历中记录的医保范围内的药品、诊疗项目、检查项目、医用耗材、医疗服务设施等费用与患者实际治疗发生的费用不相符。</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（十二）搭车治疗</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符合下列情况之一的，视为搭车治疗：</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1、定点医疗机构医务人员“搭车”用药、诊查的搭车诊疗行为。</w:t>
      </w:r>
    </w:p>
    <w:p>
      <w:pPr>
        <w:kinsoku/>
        <w:spacing w:line="360" w:lineRule="auto"/>
        <w:ind w:firstLine="560" w:firstLineChars="2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2、不符合年龄、性别等因素进行的检查治疗行为。</w:t>
      </w:r>
    </w:p>
    <w:p>
      <w:pPr>
        <w:kinsoku/>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3、疾病治疗期间开具与疾病诊断无关或禁忌的药品等非适应症用药（医保外报销、诊断治疗不符）。</w:t>
      </w:r>
    </w:p>
    <w:p>
      <w:pPr>
        <w:kinsoku/>
        <w:spacing w:line="360" w:lineRule="auto"/>
        <w:ind w:firstLine="562" w:firstLineChars="20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 xml:space="preserve">（十三）其他违规行为 </w:t>
      </w:r>
    </w:p>
    <w:p>
      <w:pPr>
        <w:kinsoku/>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医务人员曲解医保政策、不积极解决问题、上交矛盾、被投诉、被举报、被曝光经查属实的其他违规行为。</w:t>
      </w:r>
    </w:p>
    <w:p>
      <w:pPr>
        <w:kinsoku/>
        <w:jc w:val="both"/>
        <w:rPr>
          <w:rFonts w:hint="eastAsia" w:ascii="宋体" w:hAnsi="宋体" w:eastAsia="宋体" w:cs="宋体"/>
          <w:color w:val="auto"/>
          <w:highlight w:val="none"/>
        </w:rPr>
      </w:pPr>
    </w:p>
    <w:p>
      <w:pPr>
        <w:kinsoku/>
        <w:jc w:val="both"/>
        <w:rPr>
          <w:rFonts w:hint="eastAsia" w:ascii="宋体" w:hAnsi="宋体" w:eastAsia="宋体" w:cs="宋体"/>
          <w:color w:val="auto"/>
          <w:highlight w:val="none"/>
        </w:rPr>
      </w:pPr>
    </w:p>
    <w:bookmarkEnd w:id="155"/>
    <w:bookmarkEnd w:id="156"/>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Theme="majorEastAsia" w:hAnsiTheme="majorEastAsia" w:eastAsiaTheme="majorEastAsia" w:cstheme="majorEastAsia"/>
          <w:b/>
          <w:bCs/>
          <w:kern w:val="44"/>
          <w:sz w:val="44"/>
          <w:szCs w:val="44"/>
          <w:lang w:val="en-US" w:eastAsia="zh-CN" w:bidi="ar-SA"/>
        </w:rPr>
      </w:pPr>
      <w:bookmarkStart w:id="157" w:name="_Toc31292"/>
      <w:bookmarkStart w:id="158" w:name="_Toc10652"/>
      <w:bookmarkStart w:id="159" w:name="_Toc2725"/>
      <w:bookmarkStart w:id="160" w:name="_Toc19934"/>
      <w:r>
        <w:rPr>
          <w:rFonts w:hint="eastAsia" w:asciiTheme="majorEastAsia" w:hAnsiTheme="majorEastAsia" w:eastAsiaTheme="majorEastAsia" w:cstheme="majorEastAsia"/>
          <w:b/>
          <w:bCs/>
          <w:kern w:val="44"/>
          <w:sz w:val="44"/>
          <w:szCs w:val="44"/>
          <w:lang w:val="en-US" w:eastAsia="zh-CN" w:bidi="ar-SA"/>
        </w:rPr>
        <w:t>第二十一章 医保便民服务电话及掌办、网办渠道</w:t>
      </w:r>
      <w:bookmarkEnd w:id="157"/>
      <w:bookmarkEnd w:id="158"/>
    </w:p>
    <w:p>
      <w:pPr>
        <w:pStyle w:val="9"/>
        <w:pageBreakBefore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color w:val="000000"/>
          <w:kern w:val="0"/>
          <w:sz w:val="36"/>
          <w:szCs w:val="36"/>
          <w:lang w:val="en-US" w:eastAsia="zh-CN" w:bidi="ar-SA"/>
        </w:rPr>
      </w:pPr>
      <w:r>
        <w:rPr>
          <w:rFonts w:hint="eastAsia" w:asciiTheme="minorEastAsia" w:hAnsiTheme="minorEastAsia" w:eastAsiaTheme="minorEastAsia" w:cstheme="minorEastAsia"/>
          <w:b/>
          <w:color w:val="000000"/>
          <w:kern w:val="0"/>
          <w:sz w:val="36"/>
          <w:szCs w:val="36"/>
          <w:lang w:val="en-US" w:eastAsia="zh-CN" w:bidi="ar-SA"/>
        </w:rPr>
        <w:t xml:space="preserve">一、滨州市、县医保便民服务电话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（一）市直医保服务大厅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 xml:space="preserve">参保登记、基金征缴、信息查询变更、关系转移、个人账户、异地就医备案、医疗费手工报销： 3162697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val="en-US" w:eastAsia="zh-CN"/>
        </w:rPr>
        <w:t>2、</w:t>
      </w:r>
      <w:r>
        <w:rPr>
          <w:rFonts w:hint="eastAsia" w:asciiTheme="minorEastAsia" w:hAnsiTheme="minorEastAsia" w:eastAsiaTheme="minorEastAsia" w:cstheme="minorEastAsia"/>
          <w:color w:val="000000"/>
          <w:kern w:val="0"/>
          <w:sz w:val="28"/>
          <w:szCs w:val="28"/>
        </w:rPr>
        <w:t xml:space="preserve">门诊慢特病、生育保险待遇支付：3185135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（二）滨城区医保服务大厅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服务电话：8600019 </w:t>
      </w:r>
    </w:p>
    <w:p>
      <w:pPr>
        <w:pageBreakBefore w:val="0"/>
        <w:widowControl/>
        <w:kinsoku/>
        <w:wordWrap/>
        <w:overflowPunct/>
        <w:topLinePunct w:val="0"/>
        <w:autoSpaceDE/>
        <w:autoSpaceDN/>
        <w:bidi w:val="0"/>
        <w:adjustRightInd/>
        <w:snapToGrid/>
        <w:spacing w:line="560" w:lineRule="exact"/>
        <w:jc w:val="left"/>
        <w:textAlignment w:val="auto"/>
      </w:pPr>
      <w:r>
        <w:rPr>
          <w:rFonts w:hint="eastAsia" w:asciiTheme="minorEastAsia" w:hAnsiTheme="minorEastAsia" w:eastAsiaTheme="minorEastAsia" w:cstheme="minorEastAsia"/>
          <w:b/>
          <w:color w:val="000000"/>
          <w:spacing w:val="0"/>
          <w:kern w:val="0"/>
          <w:sz w:val="28"/>
          <w:szCs w:val="28"/>
          <w:lang w:val="en-US" w:eastAsia="zh-CN"/>
        </w:rPr>
        <w:t>（三）邹平市医保服务大厅</w:t>
      </w:r>
      <w:r>
        <w:rPr>
          <w:rFonts w:hint="eastAsia" w:ascii="黑体" w:hAnsi="宋体" w:eastAsia="黑体" w:cs="黑体"/>
          <w:color w:val="000000"/>
          <w:kern w:val="0"/>
          <w:sz w:val="31"/>
          <w:szCs w:val="31"/>
        </w:rPr>
        <w:t xml:space="preserve">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 xml:space="preserve">参保登记、基金征缴、信息查询变更、关系转移、职工个人账户、居民医疗救助：4266565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2、</w:t>
      </w:r>
      <w:r>
        <w:rPr>
          <w:rFonts w:hint="eastAsia" w:asciiTheme="minorEastAsia" w:hAnsiTheme="minorEastAsia" w:eastAsiaTheme="minorEastAsia" w:cstheme="minorEastAsia"/>
          <w:color w:val="000000"/>
          <w:kern w:val="0"/>
          <w:sz w:val="28"/>
          <w:szCs w:val="28"/>
        </w:rPr>
        <w:t xml:space="preserve">门诊慢特病、异地就医、医疗费手工报销、职工生育保险待遇支付：4266599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（四）沾化区医保经办服务大厅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 xml:space="preserve">参保登记、基金征缴、信息查询变更、关系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转移、职工个人账户：7057606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2、</w:t>
      </w:r>
      <w:r>
        <w:rPr>
          <w:rFonts w:hint="eastAsia" w:asciiTheme="minorEastAsia" w:hAnsiTheme="minorEastAsia" w:eastAsiaTheme="minorEastAsia" w:cstheme="minorEastAsia"/>
          <w:color w:val="000000"/>
          <w:kern w:val="0"/>
          <w:sz w:val="28"/>
          <w:szCs w:val="28"/>
        </w:rPr>
        <w:t xml:space="preserve">门诊慢特病：7057600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3、</w:t>
      </w:r>
      <w:r>
        <w:rPr>
          <w:rFonts w:hint="eastAsia" w:asciiTheme="minorEastAsia" w:hAnsiTheme="minorEastAsia" w:eastAsiaTheme="minorEastAsia" w:cstheme="minorEastAsia"/>
          <w:color w:val="000000"/>
          <w:kern w:val="0"/>
          <w:sz w:val="28"/>
          <w:szCs w:val="28"/>
        </w:rPr>
        <w:t xml:space="preserve">异地就医：7057595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4、</w:t>
      </w:r>
      <w:r>
        <w:rPr>
          <w:rFonts w:hint="eastAsia" w:asciiTheme="minorEastAsia" w:hAnsiTheme="minorEastAsia" w:eastAsiaTheme="minorEastAsia" w:cstheme="minorEastAsia"/>
          <w:color w:val="000000"/>
          <w:kern w:val="0"/>
          <w:sz w:val="28"/>
          <w:szCs w:val="28"/>
        </w:rPr>
        <w:t xml:space="preserve">职工手工报销:7057599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5、</w:t>
      </w:r>
      <w:r>
        <w:rPr>
          <w:rFonts w:hint="eastAsia" w:asciiTheme="minorEastAsia" w:hAnsiTheme="minorEastAsia" w:eastAsiaTheme="minorEastAsia" w:cstheme="minorEastAsia"/>
          <w:color w:val="000000"/>
          <w:kern w:val="0"/>
          <w:sz w:val="28"/>
          <w:szCs w:val="28"/>
        </w:rPr>
        <w:t xml:space="preserve">生育保险待遇支付：7057593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6、</w:t>
      </w:r>
      <w:r>
        <w:rPr>
          <w:rFonts w:hint="eastAsia" w:asciiTheme="minorEastAsia" w:hAnsiTheme="minorEastAsia" w:eastAsiaTheme="minorEastAsia" w:cstheme="minorEastAsia"/>
          <w:color w:val="000000"/>
          <w:kern w:val="0"/>
          <w:sz w:val="28"/>
          <w:szCs w:val="28"/>
        </w:rPr>
        <w:t xml:space="preserve">居民医疗救助：7057591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7、</w:t>
      </w:r>
      <w:r>
        <w:rPr>
          <w:rFonts w:hint="eastAsia" w:asciiTheme="minorEastAsia" w:hAnsiTheme="minorEastAsia" w:eastAsiaTheme="minorEastAsia" w:cstheme="minorEastAsia"/>
          <w:color w:val="000000"/>
          <w:kern w:val="0"/>
          <w:sz w:val="28"/>
          <w:szCs w:val="28"/>
        </w:rPr>
        <w:t xml:space="preserve">居民手工报销：7057592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（五）惠民县医保服务大厅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 xml:space="preserve">参保登记、基金征缴、信息查询变更、关系转移、职工个人账户：8197095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2、</w:t>
      </w:r>
      <w:r>
        <w:rPr>
          <w:rFonts w:hint="eastAsia" w:asciiTheme="minorEastAsia" w:hAnsiTheme="minorEastAsia" w:eastAsiaTheme="minorEastAsia" w:cstheme="minorEastAsia"/>
          <w:color w:val="000000"/>
          <w:kern w:val="0"/>
          <w:sz w:val="28"/>
          <w:szCs w:val="28"/>
        </w:rPr>
        <w:t xml:space="preserve">门诊慢特病：6977523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3、</w:t>
      </w:r>
      <w:r>
        <w:rPr>
          <w:rFonts w:hint="eastAsia" w:asciiTheme="minorEastAsia" w:hAnsiTheme="minorEastAsia" w:eastAsiaTheme="minorEastAsia" w:cstheme="minorEastAsia"/>
          <w:color w:val="000000"/>
          <w:kern w:val="0"/>
          <w:sz w:val="28"/>
          <w:szCs w:val="28"/>
        </w:rPr>
        <w:t xml:space="preserve">异地就医：8197095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4、</w:t>
      </w:r>
      <w:r>
        <w:rPr>
          <w:rFonts w:hint="eastAsia" w:asciiTheme="minorEastAsia" w:hAnsiTheme="minorEastAsia" w:eastAsiaTheme="minorEastAsia" w:cstheme="minorEastAsia"/>
          <w:color w:val="000000"/>
          <w:kern w:val="0"/>
          <w:sz w:val="28"/>
          <w:szCs w:val="28"/>
        </w:rPr>
        <w:t xml:space="preserve">手工报销:5322934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5、</w:t>
      </w:r>
      <w:r>
        <w:rPr>
          <w:rFonts w:hint="eastAsia" w:asciiTheme="minorEastAsia" w:hAnsiTheme="minorEastAsia" w:eastAsiaTheme="minorEastAsia" w:cstheme="minorEastAsia"/>
          <w:color w:val="000000"/>
          <w:kern w:val="0"/>
          <w:sz w:val="28"/>
          <w:szCs w:val="28"/>
        </w:rPr>
        <w:t xml:space="preserve">生育保险待遇支付：6977521 </w:t>
      </w:r>
    </w:p>
    <w:p>
      <w:pPr>
        <w:pageBreakBefore w:val="0"/>
        <w:widowControl/>
        <w:kinsoku/>
        <w:wordWrap/>
        <w:overflowPunct/>
        <w:topLinePunct w:val="0"/>
        <w:autoSpaceDE/>
        <w:autoSpaceDN/>
        <w:bidi w:val="0"/>
        <w:adjustRightInd/>
        <w:snapToGrid/>
        <w:spacing w:line="560" w:lineRule="exact"/>
        <w:jc w:val="left"/>
        <w:textAlignment w:val="auto"/>
      </w:pPr>
      <w:r>
        <w:rPr>
          <w:rFonts w:hint="eastAsia" w:ascii="黑体" w:hAnsi="宋体" w:eastAsia="黑体" w:cs="黑体"/>
          <w:color w:val="000000"/>
          <w:kern w:val="0"/>
          <w:sz w:val="31"/>
          <w:szCs w:val="31"/>
          <w:lang w:eastAsia="zh-CN"/>
        </w:rPr>
        <w:t>（</w:t>
      </w:r>
      <w:r>
        <w:rPr>
          <w:rFonts w:hint="eastAsia" w:asciiTheme="minorEastAsia" w:hAnsiTheme="minorEastAsia" w:eastAsiaTheme="minorEastAsia" w:cstheme="minorEastAsia"/>
          <w:b/>
          <w:color w:val="000000"/>
          <w:spacing w:val="0"/>
          <w:kern w:val="0"/>
          <w:sz w:val="28"/>
          <w:szCs w:val="28"/>
          <w:lang w:val="en-US" w:eastAsia="zh-CN"/>
        </w:rPr>
        <w:t xml:space="preserve">六）阳信县医保服务大厅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服务电话：8228778 </w:t>
      </w:r>
    </w:p>
    <w:p>
      <w:pPr>
        <w:keepNext w:val="0"/>
        <w:keepLines w:val="0"/>
        <w:pageBreakBefore w:val="0"/>
        <w:widowControl w:val="0"/>
        <w:kinsoku/>
        <w:wordWrap/>
        <w:overflowPunct/>
        <w:topLinePunct w:val="0"/>
        <w:autoSpaceDE/>
        <w:autoSpaceDN/>
        <w:bidi w:val="0"/>
        <w:adjustRightInd/>
        <w:snapToGrid/>
        <w:spacing w:before="89" w:line="560" w:lineRule="exac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（七）无棣县医保服务大厅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 xml:space="preserve">参保登记、基金征缴、信息查询变更、职工个人账户： 6781100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2、</w:t>
      </w:r>
      <w:r>
        <w:rPr>
          <w:rFonts w:hint="eastAsia" w:asciiTheme="minorEastAsia" w:hAnsiTheme="minorEastAsia" w:eastAsiaTheme="minorEastAsia" w:cstheme="minorEastAsia"/>
          <w:color w:val="000000"/>
          <w:kern w:val="0"/>
          <w:sz w:val="28"/>
          <w:szCs w:val="28"/>
        </w:rPr>
        <w:t xml:space="preserve">关系转移： 6327995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3、</w:t>
      </w:r>
      <w:r>
        <w:rPr>
          <w:rFonts w:hint="eastAsia" w:asciiTheme="minorEastAsia" w:hAnsiTheme="minorEastAsia" w:eastAsiaTheme="minorEastAsia" w:cstheme="minorEastAsia"/>
          <w:color w:val="000000"/>
          <w:kern w:val="0"/>
          <w:sz w:val="28"/>
          <w:szCs w:val="28"/>
        </w:rPr>
        <w:t xml:space="preserve">异地就医、手工报销、生育保险待遇支付：6780209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4、</w:t>
      </w:r>
      <w:r>
        <w:rPr>
          <w:rFonts w:hint="eastAsia" w:asciiTheme="minorEastAsia" w:hAnsiTheme="minorEastAsia" w:eastAsiaTheme="minorEastAsia" w:cstheme="minorEastAsia"/>
          <w:color w:val="000000"/>
          <w:kern w:val="0"/>
          <w:sz w:val="28"/>
          <w:szCs w:val="28"/>
        </w:rPr>
        <w:t xml:space="preserve">长护保险、大病保险： 6781521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5、</w:t>
      </w:r>
      <w:r>
        <w:rPr>
          <w:rFonts w:hint="eastAsia" w:asciiTheme="minorEastAsia" w:hAnsiTheme="minorEastAsia" w:eastAsiaTheme="minorEastAsia" w:cstheme="minorEastAsia"/>
          <w:color w:val="000000"/>
          <w:kern w:val="0"/>
          <w:sz w:val="28"/>
          <w:szCs w:val="28"/>
        </w:rPr>
        <w:t xml:space="preserve">门诊慢特病、居民医疗救助：6781337 </w:t>
      </w:r>
    </w:p>
    <w:p>
      <w:pPr>
        <w:keepNext w:val="0"/>
        <w:keepLines w:val="0"/>
        <w:pageBreakBefore w:val="0"/>
        <w:widowControl w:val="0"/>
        <w:kinsoku/>
        <w:wordWrap/>
        <w:overflowPunct/>
        <w:topLinePunct w:val="0"/>
        <w:autoSpaceDE/>
        <w:autoSpaceDN/>
        <w:bidi w:val="0"/>
        <w:adjustRightInd/>
        <w:snapToGrid/>
        <w:spacing w:before="89" w:line="560" w:lineRule="exac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（八）博兴县医保服务大厅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 xml:space="preserve">参保登记、基金征缴、信息查询变更、关系转移、个人账户：2399101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2、</w:t>
      </w:r>
      <w:r>
        <w:rPr>
          <w:rFonts w:hint="eastAsia" w:asciiTheme="minorEastAsia" w:hAnsiTheme="minorEastAsia" w:eastAsiaTheme="minorEastAsia" w:cstheme="minorEastAsia"/>
          <w:color w:val="000000"/>
          <w:kern w:val="0"/>
          <w:sz w:val="28"/>
          <w:szCs w:val="28"/>
        </w:rPr>
        <w:t xml:space="preserve">门诊慢特病、异地就医、手工报销：2399002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3、</w:t>
      </w:r>
      <w:r>
        <w:rPr>
          <w:rFonts w:hint="eastAsia" w:asciiTheme="minorEastAsia" w:hAnsiTheme="minorEastAsia" w:eastAsiaTheme="minorEastAsia" w:cstheme="minorEastAsia"/>
          <w:color w:val="000000"/>
          <w:kern w:val="0"/>
          <w:sz w:val="28"/>
          <w:szCs w:val="28"/>
        </w:rPr>
        <w:t xml:space="preserve">生育保险待遇支付、医疗救助：2399178 </w:t>
      </w:r>
    </w:p>
    <w:p>
      <w:pPr>
        <w:keepNext w:val="0"/>
        <w:keepLines w:val="0"/>
        <w:pageBreakBefore w:val="0"/>
        <w:widowControl w:val="0"/>
        <w:kinsoku/>
        <w:wordWrap/>
        <w:overflowPunct/>
        <w:topLinePunct w:val="0"/>
        <w:autoSpaceDE/>
        <w:autoSpaceDN/>
        <w:bidi w:val="0"/>
        <w:adjustRightInd/>
        <w:snapToGrid/>
        <w:spacing w:before="89" w:line="560" w:lineRule="exac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（九）开发区医保服务大厅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 xml:space="preserve">参保登记、基金征缴、信息查询变更、关系转移：7011718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2、</w:t>
      </w:r>
      <w:r>
        <w:rPr>
          <w:rFonts w:hint="eastAsia" w:asciiTheme="minorEastAsia" w:hAnsiTheme="minorEastAsia" w:eastAsiaTheme="minorEastAsia" w:cstheme="minorEastAsia"/>
          <w:color w:val="000000"/>
          <w:kern w:val="0"/>
          <w:sz w:val="28"/>
          <w:szCs w:val="28"/>
        </w:rPr>
        <w:t xml:space="preserve">个人账户、门诊慢特病、异地就医、手工报销、生育保险待遇支付：3805708 </w:t>
      </w:r>
    </w:p>
    <w:p>
      <w:pPr>
        <w:keepNext w:val="0"/>
        <w:keepLines w:val="0"/>
        <w:pageBreakBefore w:val="0"/>
        <w:widowControl w:val="0"/>
        <w:kinsoku/>
        <w:wordWrap/>
        <w:overflowPunct/>
        <w:topLinePunct w:val="0"/>
        <w:autoSpaceDE/>
        <w:autoSpaceDN/>
        <w:bidi w:val="0"/>
        <w:adjustRightInd/>
        <w:snapToGrid/>
        <w:spacing w:before="89" w:line="560" w:lineRule="exac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（十）高新区医保服务大厅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1、</w:t>
      </w:r>
      <w:r>
        <w:rPr>
          <w:rFonts w:hint="eastAsia" w:asciiTheme="minorEastAsia" w:hAnsiTheme="minorEastAsia" w:eastAsiaTheme="minorEastAsia" w:cstheme="minorEastAsia"/>
          <w:color w:val="000000"/>
          <w:kern w:val="0"/>
          <w:sz w:val="28"/>
          <w:szCs w:val="28"/>
        </w:rPr>
        <w:t xml:space="preserve">参保登记、基金征缴、信息查询变更、关系转移、职工个人账户：3160160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rPr>
        <w:t>2、</w:t>
      </w:r>
      <w:r>
        <w:rPr>
          <w:rFonts w:hint="eastAsia" w:asciiTheme="minorEastAsia" w:hAnsiTheme="minorEastAsia" w:eastAsiaTheme="minorEastAsia" w:cstheme="minorEastAsia"/>
          <w:color w:val="000000"/>
          <w:kern w:val="0"/>
          <w:sz w:val="28"/>
          <w:szCs w:val="28"/>
        </w:rPr>
        <w:t xml:space="preserve">门诊慢特病、异地就医、手工报销、生育保险待遇支付、医疗救助：3160366 </w:t>
      </w:r>
    </w:p>
    <w:p>
      <w:pPr>
        <w:keepNext w:val="0"/>
        <w:keepLines w:val="0"/>
        <w:pageBreakBefore w:val="0"/>
        <w:widowControl w:val="0"/>
        <w:kinsoku/>
        <w:wordWrap/>
        <w:overflowPunct/>
        <w:topLinePunct w:val="0"/>
        <w:autoSpaceDE/>
        <w:autoSpaceDN/>
        <w:bidi w:val="0"/>
        <w:adjustRightInd/>
        <w:snapToGrid/>
        <w:spacing w:before="89" w:line="560" w:lineRule="exact"/>
        <w:textAlignment w:val="auto"/>
        <w:outlineLvl w:val="9"/>
        <w:rPr>
          <w:rFonts w:hint="eastAsia" w:asciiTheme="minorEastAsia" w:hAnsiTheme="minorEastAsia" w:eastAsiaTheme="minorEastAsia" w:cstheme="minorEastAsia"/>
          <w:b/>
          <w:color w:val="000000"/>
          <w:spacing w:val="0"/>
          <w:kern w:val="0"/>
          <w:sz w:val="28"/>
          <w:szCs w:val="28"/>
          <w:lang w:val="en-US" w:eastAsia="zh-CN"/>
        </w:rPr>
      </w:pPr>
      <w:r>
        <w:rPr>
          <w:rFonts w:hint="eastAsia" w:asciiTheme="minorEastAsia" w:hAnsiTheme="minorEastAsia" w:eastAsiaTheme="minorEastAsia" w:cstheme="minorEastAsia"/>
          <w:b/>
          <w:color w:val="000000"/>
          <w:spacing w:val="0"/>
          <w:kern w:val="0"/>
          <w:sz w:val="28"/>
          <w:szCs w:val="28"/>
          <w:lang w:val="en-US" w:eastAsia="zh-CN"/>
        </w:rPr>
        <w:t xml:space="preserve">（十一）北海医保服务大厅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服务电话：8177739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lang w:val="en-US" w:eastAsia="zh-CN"/>
        </w:rPr>
      </w:pPr>
      <w:r>
        <w:rPr>
          <w:rFonts w:hint="eastAsia" w:asciiTheme="minorEastAsia" w:hAnsiTheme="minorEastAsia" w:eastAsiaTheme="minorEastAsia" w:cstheme="minorEastAsia"/>
          <w:b/>
          <w:color w:val="000000"/>
          <w:kern w:val="0"/>
          <w:sz w:val="36"/>
          <w:szCs w:val="36"/>
          <w:lang w:val="en-US" w:eastAsia="zh-CN"/>
        </w:rPr>
        <w:t xml:space="preserve">二、掌办渠道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“滨州医保”微信公众号或小程序；支付宝“鲁医保”小程序。跨省异地就医备案可通过“国家医保服务平台”APP 办理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b/>
          <w:color w:val="000000"/>
          <w:kern w:val="0"/>
          <w:sz w:val="36"/>
          <w:szCs w:val="36"/>
        </w:rPr>
      </w:pPr>
      <w:r>
        <w:rPr>
          <w:rFonts w:hint="eastAsia" w:asciiTheme="minorEastAsia" w:hAnsiTheme="minorEastAsia" w:eastAsiaTheme="minorEastAsia" w:cstheme="minorEastAsia"/>
          <w:b/>
          <w:color w:val="000000"/>
          <w:kern w:val="0"/>
          <w:sz w:val="36"/>
          <w:szCs w:val="36"/>
          <w:lang w:val="en-US" w:eastAsia="zh-CN"/>
        </w:rPr>
        <w:t>三、</w:t>
      </w:r>
      <w:r>
        <w:rPr>
          <w:rFonts w:hint="eastAsia" w:asciiTheme="minorEastAsia" w:hAnsiTheme="minorEastAsia" w:eastAsiaTheme="minorEastAsia" w:cstheme="minorEastAsia"/>
          <w:b/>
          <w:color w:val="000000"/>
          <w:kern w:val="0"/>
          <w:sz w:val="36"/>
          <w:szCs w:val="36"/>
        </w:rPr>
        <w:t xml:space="preserve">网办渠道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 xml:space="preserve">“滨州市医疗保障局”官方网站，单位、个人分别点击“网上单位医保业务办理入口”“网上个人医保业务办理入口”办理业务。 </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b/>
          <w:color w:val="000000"/>
          <w:kern w:val="0"/>
          <w:sz w:val="36"/>
          <w:szCs w:val="36"/>
          <w:lang w:val="en-US" w:eastAsia="zh-CN"/>
        </w:rPr>
        <w:t>四、</w:t>
      </w:r>
      <w:r>
        <w:rPr>
          <w:rFonts w:hint="eastAsia" w:asciiTheme="minorEastAsia" w:hAnsiTheme="minorEastAsia" w:eastAsiaTheme="minorEastAsia" w:cstheme="minorEastAsia"/>
          <w:b/>
          <w:color w:val="000000"/>
          <w:kern w:val="0"/>
          <w:sz w:val="36"/>
          <w:szCs w:val="36"/>
        </w:rPr>
        <w:t xml:space="preserve">各市医保两定机构名单及咨询服务电话 </w:t>
      </w:r>
    </w:p>
    <w:p>
      <w:pPr>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sz w:val="32"/>
          <w:lang w:val="en-US" w:eastAsia="zh-CN"/>
        </w:rPr>
      </w:pPr>
      <w:r>
        <w:rPr>
          <w:rFonts w:hint="eastAsia" w:asciiTheme="minorEastAsia" w:hAnsiTheme="minorEastAsia" w:eastAsiaTheme="minorEastAsia" w:cstheme="minorEastAsia"/>
          <w:color w:val="000000"/>
          <w:kern w:val="0"/>
          <w:sz w:val="28"/>
          <w:szCs w:val="28"/>
        </w:rPr>
        <w:t>医保两定机构名单可以通过国家医保服务平台APP查询。定点医药机构医保咨询服务电话 0543-2212071。</w:t>
      </w:r>
      <w:bookmarkEnd w:id="159"/>
      <w:bookmarkEnd w:id="160"/>
    </w:p>
    <w:sectPr>
      <w:headerReference r:id="rId12" w:type="default"/>
      <w:footerReference r:id="rId13" w:type="default"/>
      <w:pgSz w:w="11906" w:h="16838"/>
      <w:pgMar w:top="1134" w:right="1134" w:bottom="1134" w:left="1134" w:header="851" w:footer="62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w:pict>
        <v:shape id="_x0000_s2058" o:spid="_x0000_s205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weight="1.2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等线" w:hAnsi="等线" w:eastAsia="等线" w:cs="黑体"/>
        <w:kern w:val="2"/>
        <w:sz w:val="18"/>
        <w:szCs w:val="24"/>
        <w:lang w:val="en-US" w:eastAsia="zh-CN" w:bidi="ar-SA"/>
      </w:rPr>
      <w:pict>
        <v:shape id="_x0000_s2057" o:spid="_x0000_s2057"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等线"/>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rFonts w:ascii="等线" w:hAnsi="等线" w:eastAsia="等线" w:cs="黑体"/>
        <w:kern w:val="2"/>
        <w:sz w:val="21"/>
        <w:szCs w:val="24"/>
        <w:lang w:val="en-US" w:eastAsia="zh-CN" w:bidi="ar-SA"/>
      </w:rPr>
      <w:pict>
        <v:rect id="文本框 9" o:spid="_x0000_s2052" o:spt="1"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8</w:t>
                </w:r>
                <w:r>
                  <w:fldChar w:fldCharType="end"/>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rFonts w:ascii="等线" w:hAnsi="等线" w:eastAsia="等线" w:cs="黑体"/>
        <w:kern w:val="2"/>
        <w:sz w:val="21"/>
        <w:szCs w:val="24"/>
        <w:lang w:val="en-US" w:eastAsia="zh-CN" w:bidi="ar-SA"/>
      </w:rPr>
      <w:pict>
        <v:rect id="文本框 13" o:spid="_x0000_s2051" o:spt="1"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7</w:t>
                </w:r>
                <w:r>
                  <w:fldChar w:fldCharType="end"/>
                </w:r>
              </w:p>
            </w:txbxContent>
          </v:textbox>
        </v:rect>
      </w:pict>
    </w:r>
  </w:p>
  <w:p>
    <w:pPr>
      <w:widowControl w:val="0"/>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rFonts w:ascii="等线" w:hAnsi="等线" w:eastAsia="等线" w:cs="黑体"/>
        <w:kern w:val="2"/>
        <w:sz w:val="21"/>
        <w:szCs w:val="24"/>
        <w:lang w:val="en-US" w:eastAsia="zh-CN" w:bidi="ar-SA"/>
      </w:rPr>
      <w:pict>
        <v:rect id="文本框 14" o:spid="_x0000_s2053" o:spt="1"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12</w:t>
                </w:r>
                <w:r>
                  <w:fldChar w:fldCharType="end"/>
                </w:r>
              </w:p>
            </w:txbxContent>
          </v:textbox>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rFonts w:ascii="等线" w:hAnsi="等线" w:eastAsia="等线" w:cs="黑体"/>
        <w:kern w:val="2"/>
        <w:sz w:val="21"/>
        <w:szCs w:val="24"/>
        <w:lang w:val="en-US" w:eastAsia="zh-CN" w:bidi="ar-SA"/>
      </w:rPr>
      <w:pict>
        <v:rect id="文本框 15" o:spid="_x0000_s2054" o:spt="1"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16</w:t>
                </w:r>
                <w:r>
                  <w:fldChar w:fldCharType="end"/>
                </w:r>
              </w:p>
            </w:txbxContent>
          </v:textbox>
        </v:rect>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rFonts w:ascii="等线" w:hAnsi="等线" w:eastAsia="等线" w:cs="黑体"/>
        <w:kern w:val="2"/>
        <w:sz w:val="21"/>
        <w:szCs w:val="24"/>
        <w:lang w:val="en-US" w:eastAsia="zh-CN" w:bidi="ar-SA"/>
      </w:rPr>
      <w:pict>
        <v:rect id="文本框 16" o:spid="_x0000_s2055" o:spt="1"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19</w:t>
                </w:r>
                <w:r>
                  <w:fldChar w:fldCharType="end"/>
                </w:r>
              </w:p>
            </w:txbxContent>
          </v:textbox>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rPr>
        <w:rFonts w:ascii="Cambria Math" w:hAnsi="Cambria Math" w:eastAsia="Cambria Math" w:cs="Cambria Math"/>
        <w:sz w:val="28"/>
        <w:szCs w:val="28"/>
      </w:rPr>
    </w:pPr>
    <w:r>
      <w:rPr>
        <w:sz w:val="28"/>
      </w:rPr>
      <w:pict>
        <v:shape id="_x0000_s2060" o:spid="_x0000_s2060"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weight="1.2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21</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rFonts w:ascii="等线" w:hAnsi="等线" w:eastAsia="等线" w:cs="黑体"/>
        <w:kern w:val="2"/>
        <w:sz w:val="2"/>
        <w:szCs w:val="24"/>
        <w:lang w:val="en-US" w:eastAsia="zh-CN" w:bidi="ar-SA"/>
      </w:rPr>
      <w:pict>
        <v:rect id="_x0000_s2056" o:spid="_x0000_s2056" o:spt="1"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20</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singleLevel"/>
    <w:tmpl w:val="813A4B8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1">
    <w:nsid w:val="8461FADE"/>
    <w:multiLevelType w:val="singleLevel"/>
    <w:tmpl w:val="8461FAD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
    <w:nsid w:val="91995D4F"/>
    <w:multiLevelType w:val="singleLevel"/>
    <w:tmpl w:val="91995D4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3">
    <w:nsid w:val="9239341B"/>
    <w:multiLevelType w:val="singleLevel"/>
    <w:tmpl w:val="9239341B"/>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
    <w:nsid w:val="9288B902"/>
    <w:multiLevelType w:val="singleLevel"/>
    <w:tmpl w:val="9288B90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5">
    <w:nsid w:val="98243479"/>
    <w:multiLevelType w:val="singleLevel"/>
    <w:tmpl w:val="98243479"/>
    <w:lvl w:ilvl="0" w:tentative="0">
      <w:start w:val="1"/>
      <w:numFmt w:val="decimal"/>
      <w:suff w:val="nothing"/>
      <w:lvlText w:val="（%1）"/>
      <w:lvlJc w:val="left"/>
    </w:lvl>
  </w:abstractNum>
  <w:abstractNum w:abstractNumId="6">
    <w:nsid w:val="9B1F990D"/>
    <w:multiLevelType w:val="singleLevel"/>
    <w:tmpl w:val="9B1F990D"/>
    <w:lvl w:ilvl="0" w:tentative="0">
      <w:start w:val="2"/>
      <w:numFmt w:val="chineseCounting"/>
      <w:suff w:val="nothing"/>
      <w:lvlText w:val="（%1）"/>
      <w:lvlJc w:val="left"/>
      <w:rPr>
        <w:rFonts w:hint="eastAsia"/>
      </w:rPr>
    </w:lvl>
  </w:abstractNum>
  <w:abstractNum w:abstractNumId="7">
    <w:nsid w:val="9C8AC8EF"/>
    <w:multiLevelType w:val="singleLevel"/>
    <w:tmpl w:val="9C8AC8E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8">
    <w:nsid w:val="B0F1ACD9"/>
    <w:multiLevelType w:val="singleLevel"/>
    <w:tmpl w:val="B0F1ACD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9">
    <w:nsid w:val="B38FDDBD"/>
    <w:multiLevelType w:val="singleLevel"/>
    <w:tmpl w:val="B38FDDBD"/>
    <w:lvl w:ilvl="0" w:tentative="0">
      <w:start w:val="3"/>
      <w:numFmt w:val="decimal"/>
      <w:suff w:val="space"/>
      <w:lvlText w:val="（%1）"/>
      <w:lvlJc w:val="left"/>
    </w:lvl>
  </w:abstractNum>
  <w:abstractNum w:abstractNumId="10">
    <w:nsid w:val="B5E306ED"/>
    <w:multiLevelType w:val="singleLevel"/>
    <w:tmpl w:val="B5E306E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1">
    <w:nsid w:val="BB64CFA9"/>
    <w:multiLevelType w:val="singleLevel"/>
    <w:tmpl w:val="BB64CFA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2">
    <w:nsid w:val="BE923771"/>
    <w:multiLevelType w:val="singleLevel"/>
    <w:tmpl w:val="BE923771"/>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13">
    <w:nsid w:val="BF205925"/>
    <w:multiLevelType w:val="singleLevel"/>
    <w:tmpl w:val="BF20592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4">
    <w:nsid w:val="C8879AEF"/>
    <w:multiLevelType w:val="singleLevel"/>
    <w:tmpl w:val="C8879AE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15">
    <w:nsid w:val="CF092B84"/>
    <w:multiLevelType w:val="singleLevel"/>
    <w:tmpl w:val="CF092B8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6">
    <w:nsid w:val="D09BE5A3"/>
    <w:multiLevelType w:val="singleLevel"/>
    <w:tmpl w:val="D09BE5A3"/>
    <w:lvl w:ilvl="0" w:tentative="0">
      <w:start w:val="2"/>
      <w:numFmt w:val="chineseCounting"/>
      <w:suff w:val="nothing"/>
      <w:lvlText w:val="%1、"/>
      <w:lvlJc w:val="left"/>
      <w:pPr>
        <w:ind w:left="420" w:firstLine="0"/>
      </w:pPr>
      <w:rPr>
        <w:rFonts w:hint="eastAsia"/>
      </w:rPr>
    </w:lvl>
  </w:abstractNum>
  <w:abstractNum w:abstractNumId="17">
    <w:nsid w:val="D57BF09F"/>
    <w:multiLevelType w:val="singleLevel"/>
    <w:tmpl w:val="D57BF09F"/>
    <w:lvl w:ilvl="0" w:tentative="0">
      <w:start w:val="9"/>
      <w:numFmt w:val="chineseCounting"/>
      <w:suff w:val="nothing"/>
      <w:lvlText w:val="%1、"/>
      <w:lvlJc w:val="left"/>
      <w:rPr>
        <w:rFonts w:hint="eastAsia"/>
      </w:rPr>
    </w:lvl>
  </w:abstractNum>
  <w:abstractNum w:abstractNumId="18">
    <w:nsid w:val="D7F9FE59"/>
    <w:multiLevelType w:val="singleLevel"/>
    <w:tmpl w:val="D7F9FE5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19">
    <w:nsid w:val="DCBA6B53"/>
    <w:multiLevelType w:val="singleLevel"/>
    <w:tmpl w:val="DCBA6B5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0">
    <w:nsid w:val="E093A4B0"/>
    <w:multiLevelType w:val="singleLevel"/>
    <w:tmpl w:val="E093A4B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1">
    <w:nsid w:val="EA0DC18D"/>
    <w:multiLevelType w:val="singleLevel"/>
    <w:tmpl w:val="EA0DC18D"/>
    <w:lvl w:ilvl="0" w:tentative="0">
      <w:start w:val="2"/>
      <w:numFmt w:val="chineseCounting"/>
      <w:suff w:val="nothing"/>
      <w:lvlText w:val="%1、"/>
      <w:lvlJc w:val="left"/>
      <w:rPr>
        <w:rFonts w:hint="eastAsia"/>
      </w:rPr>
    </w:lvl>
  </w:abstractNum>
  <w:abstractNum w:abstractNumId="22">
    <w:nsid w:val="F4B5D9F5"/>
    <w:multiLevelType w:val="singleLevel"/>
    <w:tmpl w:val="F4B5D9F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3">
    <w:nsid w:val="F7735DC9"/>
    <w:multiLevelType w:val="singleLevel"/>
    <w:tmpl w:val="F7735DC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4">
    <w:nsid w:val="F8DEDC41"/>
    <w:multiLevelType w:val="singleLevel"/>
    <w:tmpl w:val="F8DEDC41"/>
    <w:lvl w:ilvl="0" w:tentative="0">
      <w:start w:val="1"/>
      <w:numFmt w:val="decimal"/>
      <w:suff w:val="space"/>
      <w:lvlText w:val="（%1）"/>
      <w:lvlJc w:val="left"/>
    </w:lvl>
  </w:abstractNum>
  <w:abstractNum w:abstractNumId="25">
    <w:nsid w:val="0053208E"/>
    <w:multiLevelType w:val="singleLevel"/>
    <w:tmpl w:val="0053208E"/>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6">
    <w:nsid w:val="0248C179"/>
    <w:multiLevelType w:val="singleLevel"/>
    <w:tmpl w:val="0248C17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7">
    <w:nsid w:val="0A80B0CB"/>
    <w:multiLevelType w:val="singleLevel"/>
    <w:tmpl w:val="0A80B0CB"/>
    <w:lvl w:ilvl="0" w:tentative="0">
      <w:start w:val="2"/>
      <w:numFmt w:val="chineseCounting"/>
      <w:suff w:val="nothing"/>
      <w:lvlText w:val="（%1）"/>
      <w:lvlJc w:val="left"/>
      <w:rPr>
        <w:rFonts w:hint="eastAsia"/>
      </w:rPr>
    </w:lvl>
  </w:abstractNum>
  <w:abstractNum w:abstractNumId="28">
    <w:nsid w:val="0D930F6F"/>
    <w:multiLevelType w:val="singleLevel"/>
    <w:tmpl w:val="0D930F6F"/>
    <w:lvl w:ilvl="0" w:tentative="0">
      <w:start w:val="1"/>
      <w:numFmt w:val="chineseCounting"/>
      <w:suff w:val="nothing"/>
      <w:lvlText w:val="%1、"/>
      <w:lvlJc w:val="left"/>
      <w:rPr>
        <w:rFonts w:hint="eastAsia" w:asciiTheme="minorEastAsia" w:hAnsiTheme="minorEastAsia" w:eastAsiaTheme="minorEastAsia" w:cstheme="minorEastAsia"/>
        <w:sz w:val="36"/>
        <w:szCs w:val="36"/>
      </w:rPr>
    </w:lvl>
  </w:abstractNum>
  <w:abstractNum w:abstractNumId="29">
    <w:nsid w:val="0E640482"/>
    <w:multiLevelType w:val="singleLevel"/>
    <w:tmpl w:val="0E64048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30">
    <w:nsid w:val="11A29FAA"/>
    <w:multiLevelType w:val="singleLevel"/>
    <w:tmpl w:val="11A29FAA"/>
    <w:lvl w:ilvl="0" w:tentative="0">
      <w:start w:val="1"/>
      <w:numFmt w:val="chineseCounting"/>
      <w:suff w:val="nothing"/>
      <w:lvlText w:val="%1、"/>
      <w:lvlJc w:val="left"/>
      <w:rPr>
        <w:rFonts w:hint="eastAsia"/>
      </w:rPr>
    </w:lvl>
  </w:abstractNum>
  <w:abstractNum w:abstractNumId="31">
    <w:nsid w:val="137067CF"/>
    <w:multiLevelType w:val="singleLevel"/>
    <w:tmpl w:val="137067CF"/>
    <w:lvl w:ilvl="0" w:tentative="0">
      <w:start w:val="1"/>
      <w:numFmt w:val="chineseCounting"/>
      <w:suff w:val="nothing"/>
      <w:lvlText w:val="%1、"/>
      <w:lvlJc w:val="left"/>
      <w:rPr>
        <w:rFonts w:hint="eastAsia"/>
      </w:rPr>
    </w:lvl>
  </w:abstractNum>
  <w:abstractNum w:abstractNumId="32">
    <w:nsid w:val="243FCF68"/>
    <w:multiLevelType w:val="singleLevel"/>
    <w:tmpl w:val="243FCF68"/>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33">
    <w:nsid w:val="2470EC97"/>
    <w:multiLevelType w:val="singleLevel"/>
    <w:tmpl w:val="2470EC9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34">
    <w:nsid w:val="26EBEBF9"/>
    <w:multiLevelType w:val="singleLevel"/>
    <w:tmpl w:val="26EBEBF9"/>
    <w:lvl w:ilvl="0" w:tentative="0">
      <w:start w:val="1"/>
      <w:numFmt w:val="chineseCounting"/>
      <w:suff w:val="nothing"/>
      <w:lvlText w:val="%1、"/>
      <w:lvlJc w:val="left"/>
      <w:rPr>
        <w:rFonts w:hint="eastAsia"/>
      </w:rPr>
    </w:lvl>
  </w:abstractNum>
  <w:abstractNum w:abstractNumId="35">
    <w:nsid w:val="2A8F537B"/>
    <w:multiLevelType w:val="singleLevel"/>
    <w:tmpl w:val="2A8F537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6">
    <w:nsid w:val="30C137A4"/>
    <w:multiLevelType w:val="singleLevel"/>
    <w:tmpl w:val="30C137A4"/>
    <w:lvl w:ilvl="0" w:tentative="0">
      <w:start w:val="5"/>
      <w:numFmt w:val="chineseCounting"/>
      <w:suff w:val="nothing"/>
      <w:lvlText w:val="%1、"/>
      <w:lvlJc w:val="left"/>
      <w:rPr>
        <w:rFonts w:hint="eastAsia"/>
      </w:rPr>
    </w:lvl>
  </w:abstractNum>
  <w:abstractNum w:abstractNumId="37">
    <w:nsid w:val="30FC5B15"/>
    <w:multiLevelType w:val="singleLevel"/>
    <w:tmpl w:val="30FC5B1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38">
    <w:nsid w:val="39A0D9AC"/>
    <w:multiLevelType w:val="singleLevel"/>
    <w:tmpl w:val="39A0D9A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39">
    <w:nsid w:val="46A08BB8"/>
    <w:multiLevelType w:val="singleLevel"/>
    <w:tmpl w:val="46A08BB8"/>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40">
    <w:nsid w:val="4C1BAE26"/>
    <w:multiLevelType w:val="singleLevel"/>
    <w:tmpl w:val="4C1BAE2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1">
    <w:nsid w:val="4D4DC07F"/>
    <w:multiLevelType w:val="singleLevel"/>
    <w:tmpl w:val="4D4DC07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42">
    <w:nsid w:val="4D94DA66"/>
    <w:multiLevelType w:val="singleLevel"/>
    <w:tmpl w:val="4D94DA6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43">
    <w:nsid w:val="58765686"/>
    <w:multiLevelType w:val="singleLevel"/>
    <w:tmpl w:val="58765686"/>
    <w:lvl w:ilvl="0" w:tentative="0">
      <w:start w:val="5"/>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44">
    <w:nsid w:val="59ADCABA"/>
    <w:multiLevelType w:val="singleLevel"/>
    <w:tmpl w:val="59ADCABA"/>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5">
    <w:nsid w:val="5A241D34"/>
    <w:multiLevelType w:val="singleLevel"/>
    <w:tmpl w:val="5A241D3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46">
    <w:nsid w:val="60382F6E"/>
    <w:multiLevelType w:val="singleLevel"/>
    <w:tmpl w:val="60382F6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47">
    <w:nsid w:val="629F7852"/>
    <w:multiLevelType w:val="singleLevel"/>
    <w:tmpl w:val="629F785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48">
    <w:nsid w:val="67921A46"/>
    <w:multiLevelType w:val="singleLevel"/>
    <w:tmpl w:val="67921A46"/>
    <w:lvl w:ilvl="0" w:tentative="0">
      <w:start w:val="1"/>
      <w:numFmt w:val="chineseCounting"/>
      <w:suff w:val="nothing"/>
      <w:lvlText w:val="（%1）"/>
      <w:lvlJc w:val="left"/>
      <w:rPr>
        <w:rFonts w:hint="eastAsia"/>
      </w:rPr>
    </w:lvl>
  </w:abstractNum>
  <w:abstractNum w:abstractNumId="49">
    <w:nsid w:val="72183CF9"/>
    <w:multiLevelType w:val="singleLevel"/>
    <w:tmpl w:val="72183CF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50">
    <w:nsid w:val="77ECEA79"/>
    <w:multiLevelType w:val="singleLevel"/>
    <w:tmpl w:val="77ECEA7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51">
    <w:nsid w:val="79AA4FA4"/>
    <w:multiLevelType w:val="singleLevel"/>
    <w:tmpl w:val="79AA4FA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52">
    <w:nsid w:val="7C246926"/>
    <w:multiLevelType w:val="singleLevel"/>
    <w:tmpl w:val="7C24692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53">
    <w:nsid w:val="7DEC2089"/>
    <w:multiLevelType w:val="singleLevel"/>
    <w:tmpl w:val="7DEC208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num w:numId="1">
    <w:abstractNumId w:val="25"/>
  </w:num>
  <w:num w:numId="2">
    <w:abstractNumId w:val="15"/>
  </w:num>
  <w:num w:numId="3">
    <w:abstractNumId w:val="44"/>
  </w:num>
  <w:num w:numId="4">
    <w:abstractNumId w:val="13"/>
  </w:num>
  <w:num w:numId="5">
    <w:abstractNumId w:val="10"/>
  </w:num>
  <w:num w:numId="6">
    <w:abstractNumId w:val="49"/>
  </w:num>
  <w:num w:numId="7">
    <w:abstractNumId w:val="26"/>
  </w:num>
  <w:num w:numId="8">
    <w:abstractNumId w:val="3"/>
  </w:num>
  <w:num w:numId="9">
    <w:abstractNumId w:val="35"/>
  </w:num>
  <w:num w:numId="10">
    <w:abstractNumId w:val="45"/>
  </w:num>
  <w:num w:numId="11">
    <w:abstractNumId w:val="14"/>
  </w:num>
  <w:num w:numId="12">
    <w:abstractNumId w:val="41"/>
  </w:num>
  <w:num w:numId="13">
    <w:abstractNumId w:val="22"/>
  </w:num>
  <w:num w:numId="14">
    <w:abstractNumId w:val="33"/>
  </w:num>
  <w:num w:numId="15">
    <w:abstractNumId w:val="19"/>
  </w:num>
  <w:num w:numId="16">
    <w:abstractNumId w:val="18"/>
  </w:num>
  <w:num w:numId="17">
    <w:abstractNumId w:val="7"/>
  </w:num>
  <w:num w:numId="18">
    <w:abstractNumId w:val="40"/>
  </w:num>
  <w:num w:numId="19">
    <w:abstractNumId w:val="46"/>
  </w:num>
  <w:num w:numId="20">
    <w:abstractNumId w:val="29"/>
  </w:num>
  <w:num w:numId="21">
    <w:abstractNumId w:val="39"/>
  </w:num>
  <w:num w:numId="22">
    <w:abstractNumId w:val="8"/>
  </w:num>
  <w:num w:numId="23">
    <w:abstractNumId w:val="52"/>
  </w:num>
  <w:num w:numId="24">
    <w:abstractNumId w:val="50"/>
  </w:num>
  <w:num w:numId="25">
    <w:abstractNumId w:val="12"/>
  </w:num>
  <w:num w:numId="26">
    <w:abstractNumId w:val="47"/>
  </w:num>
  <w:num w:numId="27">
    <w:abstractNumId w:val="4"/>
  </w:num>
  <w:num w:numId="28">
    <w:abstractNumId w:val="38"/>
  </w:num>
  <w:num w:numId="29">
    <w:abstractNumId w:val="1"/>
  </w:num>
  <w:num w:numId="30">
    <w:abstractNumId w:val="43"/>
  </w:num>
  <w:num w:numId="31">
    <w:abstractNumId w:val="53"/>
  </w:num>
  <w:num w:numId="32">
    <w:abstractNumId w:val="0"/>
  </w:num>
  <w:num w:numId="33">
    <w:abstractNumId w:val="32"/>
  </w:num>
  <w:num w:numId="34">
    <w:abstractNumId w:val="42"/>
  </w:num>
  <w:num w:numId="35">
    <w:abstractNumId w:val="23"/>
  </w:num>
  <w:num w:numId="36">
    <w:abstractNumId w:val="20"/>
  </w:num>
  <w:num w:numId="37">
    <w:abstractNumId w:val="37"/>
  </w:num>
  <w:num w:numId="38">
    <w:abstractNumId w:val="51"/>
  </w:num>
  <w:num w:numId="39">
    <w:abstractNumId w:val="11"/>
  </w:num>
  <w:num w:numId="40">
    <w:abstractNumId w:val="2"/>
  </w:num>
  <w:num w:numId="41">
    <w:abstractNumId w:val="21"/>
  </w:num>
  <w:num w:numId="42">
    <w:abstractNumId w:val="6"/>
  </w:num>
  <w:num w:numId="43">
    <w:abstractNumId w:val="27"/>
  </w:num>
  <w:num w:numId="44">
    <w:abstractNumId w:val="30"/>
  </w:num>
  <w:num w:numId="45">
    <w:abstractNumId w:val="28"/>
  </w:num>
  <w:num w:numId="46">
    <w:abstractNumId w:val="5"/>
  </w:num>
  <w:num w:numId="47">
    <w:abstractNumId w:val="17"/>
  </w:num>
  <w:num w:numId="48">
    <w:abstractNumId w:val="16"/>
  </w:num>
  <w:num w:numId="49">
    <w:abstractNumId w:val="48"/>
  </w:num>
  <w:num w:numId="50">
    <w:abstractNumId w:val="36"/>
  </w:num>
  <w:num w:numId="51">
    <w:abstractNumId w:val="9"/>
  </w:num>
  <w:num w:numId="52">
    <w:abstractNumId w:val="24"/>
  </w:num>
  <w:num w:numId="53">
    <w:abstractNumId w:val="34"/>
  </w:num>
  <w:num w:numId="5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NjlkZDBiZDFlNTBjOGUzNjJiYjNlYmU5NjBhNmUyNTgifQ=="/>
    <w:docVar w:name="KSO_WPS_MARK_KEY" w:val="7b299eb6-a25a-4fc8-af45-6dc1c292280c"/>
  </w:docVars>
  <w:rsids>
    <w:rsidRoot w:val="000B20F6"/>
    <w:rsid w:val="000149F8"/>
    <w:rsid w:val="00016D99"/>
    <w:rsid w:val="000B20F6"/>
    <w:rsid w:val="000C7C75"/>
    <w:rsid w:val="001A64C4"/>
    <w:rsid w:val="001C048E"/>
    <w:rsid w:val="001D7D65"/>
    <w:rsid w:val="00294959"/>
    <w:rsid w:val="00296258"/>
    <w:rsid w:val="002A20AA"/>
    <w:rsid w:val="002B0831"/>
    <w:rsid w:val="003357D8"/>
    <w:rsid w:val="003752C8"/>
    <w:rsid w:val="00403108"/>
    <w:rsid w:val="0040643D"/>
    <w:rsid w:val="00487186"/>
    <w:rsid w:val="00526778"/>
    <w:rsid w:val="00563274"/>
    <w:rsid w:val="00645991"/>
    <w:rsid w:val="00692C0A"/>
    <w:rsid w:val="006979DA"/>
    <w:rsid w:val="006B31C3"/>
    <w:rsid w:val="007A5E00"/>
    <w:rsid w:val="007C2CDB"/>
    <w:rsid w:val="007F2B4D"/>
    <w:rsid w:val="00836C1B"/>
    <w:rsid w:val="0088299A"/>
    <w:rsid w:val="009475F5"/>
    <w:rsid w:val="009515DA"/>
    <w:rsid w:val="009526A6"/>
    <w:rsid w:val="00B80D32"/>
    <w:rsid w:val="00CB6E96"/>
    <w:rsid w:val="00CE72AE"/>
    <w:rsid w:val="00CF3752"/>
    <w:rsid w:val="00D23242"/>
    <w:rsid w:val="00DF4EE1"/>
    <w:rsid w:val="00E6284A"/>
    <w:rsid w:val="00EC124C"/>
    <w:rsid w:val="00EF16FF"/>
    <w:rsid w:val="00F05549"/>
    <w:rsid w:val="00F52D7E"/>
    <w:rsid w:val="011473B7"/>
    <w:rsid w:val="011E0236"/>
    <w:rsid w:val="01203FAE"/>
    <w:rsid w:val="012B4701"/>
    <w:rsid w:val="0134755F"/>
    <w:rsid w:val="014063FE"/>
    <w:rsid w:val="014D0777"/>
    <w:rsid w:val="01541EA9"/>
    <w:rsid w:val="015919F9"/>
    <w:rsid w:val="01593EC7"/>
    <w:rsid w:val="01687703"/>
    <w:rsid w:val="017A0B78"/>
    <w:rsid w:val="017C6D0A"/>
    <w:rsid w:val="019D115B"/>
    <w:rsid w:val="01BB7C93"/>
    <w:rsid w:val="01C04E49"/>
    <w:rsid w:val="01C7267B"/>
    <w:rsid w:val="01D866AD"/>
    <w:rsid w:val="01E72CB0"/>
    <w:rsid w:val="01EE5E5A"/>
    <w:rsid w:val="01F66ABD"/>
    <w:rsid w:val="0215094D"/>
    <w:rsid w:val="02151639"/>
    <w:rsid w:val="021A09FD"/>
    <w:rsid w:val="021F6013"/>
    <w:rsid w:val="025739FF"/>
    <w:rsid w:val="02654BB6"/>
    <w:rsid w:val="026B3007"/>
    <w:rsid w:val="026D3223"/>
    <w:rsid w:val="02720839"/>
    <w:rsid w:val="02750329"/>
    <w:rsid w:val="028E3199"/>
    <w:rsid w:val="029A32CC"/>
    <w:rsid w:val="02A227A1"/>
    <w:rsid w:val="02AB78A7"/>
    <w:rsid w:val="02C24BF1"/>
    <w:rsid w:val="02CD5FA7"/>
    <w:rsid w:val="02E62FD5"/>
    <w:rsid w:val="02E64D83"/>
    <w:rsid w:val="02EE4F2C"/>
    <w:rsid w:val="02F0175E"/>
    <w:rsid w:val="02F474A0"/>
    <w:rsid w:val="030464E7"/>
    <w:rsid w:val="032C4E8C"/>
    <w:rsid w:val="032D29B2"/>
    <w:rsid w:val="0334789D"/>
    <w:rsid w:val="034B1CA5"/>
    <w:rsid w:val="036F4D79"/>
    <w:rsid w:val="037C1244"/>
    <w:rsid w:val="03863E70"/>
    <w:rsid w:val="03906A9D"/>
    <w:rsid w:val="039667A9"/>
    <w:rsid w:val="03B629A7"/>
    <w:rsid w:val="03C377B9"/>
    <w:rsid w:val="03F92894"/>
    <w:rsid w:val="043833BC"/>
    <w:rsid w:val="043D6C25"/>
    <w:rsid w:val="04600793"/>
    <w:rsid w:val="04642403"/>
    <w:rsid w:val="04647342"/>
    <w:rsid w:val="0466617C"/>
    <w:rsid w:val="046D529C"/>
    <w:rsid w:val="047F723D"/>
    <w:rsid w:val="04A66578"/>
    <w:rsid w:val="04BC223F"/>
    <w:rsid w:val="04BD38C2"/>
    <w:rsid w:val="04BD7D66"/>
    <w:rsid w:val="04C3537C"/>
    <w:rsid w:val="04C44C50"/>
    <w:rsid w:val="04D01847"/>
    <w:rsid w:val="04E90B5B"/>
    <w:rsid w:val="04F01EE9"/>
    <w:rsid w:val="04FC6AE0"/>
    <w:rsid w:val="050F6813"/>
    <w:rsid w:val="051536FE"/>
    <w:rsid w:val="0518689F"/>
    <w:rsid w:val="052102F4"/>
    <w:rsid w:val="05373674"/>
    <w:rsid w:val="056B77C2"/>
    <w:rsid w:val="05753173"/>
    <w:rsid w:val="057E7A8F"/>
    <w:rsid w:val="05810D93"/>
    <w:rsid w:val="05882122"/>
    <w:rsid w:val="05CE0B13"/>
    <w:rsid w:val="05E7509A"/>
    <w:rsid w:val="05F11A75"/>
    <w:rsid w:val="05FC5C94"/>
    <w:rsid w:val="0600615C"/>
    <w:rsid w:val="060A6FDB"/>
    <w:rsid w:val="069F5975"/>
    <w:rsid w:val="06AC0092"/>
    <w:rsid w:val="06C1551D"/>
    <w:rsid w:val="06EE06AA"/>
    <w:rsid w:val="07177C01"/>
    <w:rsid w:val="072C64D0"/>
    <w:rsid w:val="072D1539"/>
    <w:rsid w:val="077741FC"/>
    <w:rsid w:val="07866B35"/>
    <w:rsid w:val="07874AB9"/>
    <w:rsid w:val="07BB28BB"/>
    <w:rsid w:val="07ED2710"/>
    <w:rsid w:val="07ED44BE"/>
    <w:rsid w:val="07F65A68"/>
    <w:rsid w:val="08055CAB"/>
    <w:rsid w:val="082A5712"/>
    <w:rsid w:val="082D6FB0"/>
    <w:rsid w:val="08444A26"/>
    <w:rsid w:val="086A3D60"/>
    <w:rsid w:val="08935065"/>
    <w:rsid w:val="08C9590D"/>
    <w:rsid w:val="08E104C7"/>
    <w:rsid w:val="08E14253"/>
    <w:rsid w:val="08FA3336"/>
    <w:rsid w:val="09077801"/>
    <w:rsid w:val="09120680"/>
    <w:rsid w:val="09187C60"/>
    <w:rsid w:val="091C187D"/>
    <w:rsid w:val="091F0FEF"/>
    <w:rsid w:val="09251996"/>
    <w:rsid w:val="094020BC"/>
    <w:rsid w:val="094E3682"/>
    <w:rsid w:val="09595CA6"/>
    <w:rsid w:val="095C5D9F"/>
    <w:rsid w:val="09646EE5"/>
    <w:rsid w:val="096E624A"/>
    <w:rsid w:val="09734E97"/>
    <w:rsid w:val="09A339CE"/>
    <w:rsid w:val="09A3577C"/>
    <w:rsid w:val="09CF60EF"/>
    <w:rsid w:val="0A002BCE"/>
    <w:rsid w:val="0A20197B"/>
    <w:rsid w:val="0A232419"/>
    <w:rsid w:val="0A241A31"/>
    <w:rsid w:val="0A4E739D"/>
    <w:rsid w:val="0A4F4965"/>
    <w:rsid w:val="0A682522"/>
    <w:rsid w:val="0A9F25B1"/>
    <w:rsid w:val="0AA01CBB"/>
    <w:rsid w:val="0ACC485F"/>
    <w:rsid w:val="0B03787A"/>
    <w:rsid w:val="0B1C4111"/>
    <w:rsid w:val="0B1D330C"/>
    <w:rsid w:val="0BA47589"/>
    <w:rsid w:val="0BB35F39"/>
    <w:rsid w:val="0BD065D0"/>
    <w:rsid w:val="0BF00A21"/>
    <w:rsid w:val="0BFC5617"/>
    <w:rsid w:val="0C197F77"/>
    <w:rsid w:val="0C304E24"/>
    <w:rsid w:val="0C434738"/>
    <w:rsid w:val="0C4D7C21"/>
    <w:rsid w:val="0C8353F1"/>
    <w:rsid w:val="0CA31213"/>
    <w:rsid w:val="0CB11F5E"/>
    <w:rsid w:val="0CB47CA0"/>
    <w:rsid w:val="0CCE5793"/>
    <w:rsid w:val="0CCF6888"/>
    <w:rsid w:val="0CD910AD"/>
    <w:rsid w:val="0CE27DCE"/>
    <w:rsid w:val="0CEA4DAF"/>
    <w:rsid w:val="0CEF0CD8"/>
    <w:rsid w:val="0D026C5D"/>
    <w:rsid w:val="0D1B1ACD"/>
    <w:rsid w:val="0D2766C4"/>
    <w:rsid w:val="0D5079C9"/>
    <w:rsid w:val="0D6671EC"/>
    <w:rsid w:val="0D747B9F"/>
    <w:rsid w:val="0D7B1C2B"/>
    <w:rsid w:val="0DB8731C"/>
    <w:rsid w:val="0DDE78B8"/>
    <w:rsid w:val="0E122ED0"/>
    <w:rsid w:val="0E135BF1"/>
    <w:rsid w:val="0E2D43F9"/>
    <w:rsid w:val="0E324326"/>
    <w:rsid w:val="0E5C209B"/>
    <w:rsid w:val="0E797379"/>
    <w:rsid w:val="0E7A3C4B"/>
    <w:rsid w:val="0E80608C"/>
    <w:rsid w:val="0E8518F4"/>
    <w:rsid w:val="0E8B67DF"/>
    <w:rsid w:val="0EA21F43"/>
    <w:rsid w:val="0EDB633E"/>
    <w:rsid w:val="0F077BF4"/>
    <w:rsid w:val="0F150F1B"/>
    <w:rsid w:val="0F19704B"/>
    <w:rsid w:val="0F2D2DE1"/>
    <w:rsid w:val="0F56503F"/>
    <w:rsid w:val="0F704352"/>
    <w:rsid w:val="0F765B51"/>
    <w:rsid w:val="0F77769C"/>
    <w:rsid w:val="0FA1275E"/>
    <w:rsid w:val="0FC226D4"/>
    <w:rsid w:val="0FC449EF"/>
    <w:rsid w:val="0FE41431"/>
    <w:rsid w:val="0FED7751"/>
    <w:rsid w:val="0FFC3E38"/>
    <w:rsid w:val="0FFC7994"/>
    <w:rsid w:val="10264A11"/>
    <w:rsid w:val="10326E3B"/>
    <w:rsid w:val="1033794C"/>
    <w:rsid w:val="104430E9"/>
    <w:rsid w:val="1046215F"/>
    <w:rsid w:val="104650B3"/>
    <w:rsid w:val="10476495"/>
    <w:rsid w:val="10797237"/>
    <w:rsid w:val="107C2883"/>
    <w:rsid w:val="10866DAC"/>
    <w:rsid w:val="10947BCD"/>
    <w:rsid w:val="10AC760C"/>
    <w:rsid w:val="10B20789"/>
    <w:rsid w:val="10B22749"/>
    <w:rsid w:val="10BB33AB"/>
    <w:rsid w:val="10BD368C"/>
    <w:rsid w:val="10BE733F"/>
    <w:rsid w:val="10CD30DE"/>
    <w:rsid w:val="10CF50A9"/>
    <w:rsid w:val="10DD77C5"/>
    <w:rsid w:val="10DE12DE"/>
    <w:rsid w:val="10E07574"/>
    <w:rsid w:val="10ED7EE9"/>
    <w:rsid w:val="10F60887"/>
    <w:rsid w:val="10FC6B92"/>
    <w:rsid w:val="11131439"/>
    <w:rsid w:val="11230F50"/>
    <w:rsid w:val="112E1DCF"/>
    <w:rsid w:val="112E6273"/>
    <w:rsid w:val="113E5D8A"/>
    <w:rsid w:val="114A472F"/>
    <w:rsid w:val="1155750E"/>
    <w:rsid w:val="11845377"/>
    <w:rsid w:val="11AC53EA"/>
    <w:rsid w:val="11B20C52"/>
    <w:rsid w:val="11C664AC"/>
    <w:rsid w:val="11E15093"/>
    <w:rsid w:val="11F272A1"/>
    <w:rsid w:val="11F76665"/>
    <w:rsid w:val="120D40DA"/>
    <w:rsid w:val="120D5E88"/>
    <w:rsid w:val="12301608"/>
    <w:rsid w:val="123B3F7A"/>
    <w:rsid w:val="12485112"/>
    <w:rsid w:val="124F46F3"/>
    <w:rsid w:val="12543AB7"/>
    <w:rsid w:val="125C0BBE"/>
    <w:rsid w:val="129C5E2E"/>
    <w:rsid w:val="12B26A30"/>
    <w:rsid w:val="12CC7AF2"/>
    <w:rsid w:val="12EF6E49"/>
    <w:rsid w:val="12FC7CAB"/>
    <w:rsid w:val="13086650"/>
    <w:rsid w:val="13196E6F"/>
    <w:rsid w:val="132A2A6A"/>
    <w:rsid w:val="133843A0"/>
    <w:rsid w:val="133D454B"/>
    <w:rsid w:val="13533D6F"/>
    <w:rsid w:val="137D0DEC"/>
    <w:rsid w:val="13A97E33"/>
    <w:rsid w:val="13C3125F"/>
    <w:rsid w:val="13C62793"/>
    <w:rsid w:val="13CE1647"/>
    <w:rsid w:val="14255513"/>
    <w:rsid w:val="142B0848"/>
    <w:rsid w:val="144C4B1B"/>
    <w:rsid w:val="144E09DA"/>
    <w:rsid w:val="14777F31"/>
    <w:rsid w:val="147C72F5"/>
    <w:rsid w:val="148B7538"/>
    <w:rsid w:val="148C6684"/>
    <w:rsid w:val="149E54BE"/>
    <w:rsid w:val="14AA3BE8"/>
    <w:rsid w:val="14AC4455"/>
    <w:rsid w:val="14BB6C12"/>
    <w:rsid w:val="14BE346A"/>
    <w:rsid w:val="14D51C01"/>
    <w:rsid w:val="14EE06E6"/>
    <w:rsid w:val="15036F9C"/>
    <w:rsid w:val="15113EE2"/>
    <w:rsid w:val="151E6C0C"/>
    <w:rsid w:val="15243195"/>
    <w:rsid w:val="15292B01"/>
    <w:rsid w:val="154222ED"/>
    <w:rsid w:val="15423AE8"/>
    <w:rsid w:val="15451DDD"/>
    <w:rsid w:val="158C17BA"/>
    <w:rsid w:val="158F12AA"/>
    <w:rsid w:val="15A308B2"/>
    <w:rsid w:val="15A72150"/>
    <w:rsid w:val="15AA7E92"/>
    <w:rsid w:val="15AC59B8"/>
    <w:rsid w:val="15AF06DA"/>
    <w:rsid w:val="15B17473"/>
    <w:rsid w:val="15B8610B"/>
    <w:rsid w:val="15BD5E17"/>
    <w:rsid w:val="15BF393E"/>
    <w:rsid w:val="15CF27FB"/>
    <w:rsid w:val="15E46F00"/>
    <w:rsid w:val="15E4769E"/>
    <w:rsid w:val="161978AA"/>
    <w:rsid w:val="163559AE"/>
    <w:rsid w:val="165F2A2B"/>
    <w:rsid w:val="16660222"/>
    <w:rsid w:val="16946B78"/>
    <w:rsid w:val="16B5089D"/>
    <w:rsid w:val="16CB43F4"/>
    <w:rsid w:val="16CD208A"/>
    <w:rsid w:val="16DB47A7"/>
    <w:rsid w:val="16EB2C9B"/>
    <w:rsid w:val="16FB449D"/>
    <w:rsid w:val="171B1048"/>
    <w:rsid w:val="17667DE9"/>
    <w:rsid w:val="17747262"/>
    <w:rsid w:val="177B7D38"/>
    <w:rsid w:val="17936DD5"/>
    <w:rsid w:val="17984446"/>
    <w:rsid w:val="179E7583"/>
    <w:rsid w:val="17A0779F"/>
    <w:rsid w:val="17A56B63"/>
    <w:rsid w:val="17A96653"/>
    <w:rsid w:val="17C715CD"/>
    <w:rsid w:val="17C92852"/>
    <w:rsid w:val="17CA5893"/>
    <w:rsid w:val="17D31922"/>
    <w:rsid w:val="17D80CE7"/>
    <w:rsid w:val="17F11DA8"/>
    <w:rsid w:val="18144D7B"/>
    <w:rsid w:val="182C2DE0"/>
    <w:rsid w:val="183332A0"/>
    <w:rsid w:val="187529D9"/>
    <w:rsid w:val="187C78C4"/>
    <w:rsid w:val="187F5606"/>
    <w:rsid w:val="18830195"/>
    <w:rsid w:val="189834D1"/>
    <w:rsid w:val="18D771F0"/>
    <w:rsid w:val="18DC65B5"/>
    <w:rsid w:val="18F338FE"/>
    <w:rsid w:val="18FA234F"/>
    <w:rsid w:val="190B6E9A"/>
    <w:rsid w:val="191E4E1F"/>
    <w:rsid w:val="19263CD4"/>
    <w:rsid w:val="194311EA"/>
    <w:rsid w:val="19650358"/>
    <w:rsid w:val="197C1B46"/>
    <w:rsid w:val="198F1879"/>
    <w:rsid w:val="19936C8E"/>
    <w:rsid w:val="199B021E"/>
    <w:rsid w:val="19E82D37"/>
    <w:rsid w:val="19F3005A"/>
    <w:rsid w:val="19FF3991"/>
    <w:rsid w:val="19FF5ADB"/>
    <w:rsid w:val="1A2C0E62"/>
    <w:rsid w:val="1A444411"/>
    <w:rsid w:val="1A4775D4"/>
    <w:rsid w:val="1A4A57A0"/>
    <w:rsid w:val="1A4D1254"/>
    <w:rsid w:val="1A69031C"/>
    <w:rsid w:val="1A7A7E33"/>
    <w:rsid w:val="1A91517D"/>
    <w:rsid w:val="1AA50C28"/>
    <w:rsid w:val="1AB7627B"/>
    <w:rsid w:val="1ABB087D"/>
    <w:rsid w:val="1AD00D8B"/>
    <w:rsid w:val="1AD87250"/>
    <w:rsid w:val="1AE259D8"/>
    <w:rsid w:val="1AED4AA9"/>
    <w:rsid w:val="1AF000F5"/>
    <w:rsid w:val="1AF20311"/>
    <w:rsid w:val="1B1B7066"/>
    <w:rsid w:val="1B1E2EB4"/>
    <w:rsid w:val="1B2B737F"/>
    <w:rsid w:val="1B506DE6"/>
    <w:rsid w:val="1B6B2194"/>
    <w:rsid w:val="1B7725C5"/>
    <w:rsid w:val="1B8F3DB2"/>
    <w:rsid w:val="1BAF6202"/>
    <w:rsid w:val="1BB05282"/>
    <w:rsid w:val="1BB11F7A"/>
    <w:rsid w:val="1BB43819"/>
    <w:rsid w:val="1BC41FF0"/>
    <w:rsid w:val="1BCF79DD"/>
    <w:rsid w:val="1BF06209"/>
    <w:rsid w:val="1BF37BE9"/>
    <w:rsid w:val="1BF86418"/>
    <w:rsid w:val="1C232243"/>
    <w:rsid w:val="1C2E5379"/>
    <w:rsid w:val="1C641230"/>
    <w:rsid w:val="1C6B60F6"/>
    <w:rsid w:val="1C6F14EE"/>
    <w:rsid w:val="1C7203FD"/>
    <w:rsid w:val="1C76287C"/>
    <w:rsid w:val="1C876837"/>
    <w:rsid w:val="1C9269F9"/>
    <w:rsid w:val="1C984EE8"/>
    <w:rsid w:val="1CB33AD0"/>
    <w:rsid w:val="1CC04B14"/>
    <w:rsid w:val="1CC17F9B"/>
    <w:rsid w:val="1CC63804"/>
    <w:rsid w:val="1CE77ED5"/>
    <w:rsid w:val="1D152408"/>
    <w:rsid w:val="1D2B3E65"/>
    <w:rsid w:val="1D2D5631"/>
    <w:rsid w:val="1D3A7D4E"/>
    <w:rsid w:val="1D444728"/>
    <w:rsid w:val="1D540E0F"/>
    <w:rsid w:val="1D6F3E9B"/>
    <w:rsid w:val="1D7C34FC"/>
    <w:rsid w:val="1D9A259A"/>
    <w:rsid w:val="1D9C27B6"/>
    <w:rsid w:val="1D9E652E"/>
    <w:rsid w:val="1DA43B94"/>
    <w:rsid w:val="1DAD243E"/>
    <w:rsid w:val="1DD0420E"/>
    <w:rsid w:val="1DD97567"/>
    <w:rsid w:val="1E054F61"/>
    <w:rsid w:val="1E081BFA"/>
    <w:rsid w:val="1E3429EF"/>
    <w:rsid w:val="1E390005"/>
    <w:rsid w:val="1E48649A"/>
    <w:rsid w:val="1E6D34E2"/>
    <w:rsid w:val="1E827BFE"/>
    <w:rsid w:val="1E8C282B"/>
    <w:rsid w:val="1E8C45D9"/>
    <w:rsid w:val="1E957931"/>
    <w:rsid w:val="1E9E60BA"/>
    <w:rsid w:val="1EB76173"/>
    <w:rsid w:val="1ED02718"/>
    <w:rsid w:val="1EDA3596"/>
    <w:rsid w:val="1EE23790"/>
    <w:rsid w:val="1EE84128"/>
    <w:rsid w:val="1EF34658"/>
    <w:rsid w:val="1EFD1033"/>
    <w:rsid w:val="1EFE705F"/>
    <w:rsid w:val="1F1C595D"/>
    <w:rsid w:val="1F26058A"/>
    <w:rsid w:val="1F29790F"/>
    <w:rsid w:val="1F35324A"/>
    <w:rsid w:val="1F356A1F"/>
    <w:rsid w:val="1F5C3FAB"/>
    <w:rsid w:val="1F5E5F75"/>
    <w:rsid w:val="1F775289"/>
    <w:rsid w:val="1F83778A"/>
    <w:rsid w:val="1F8A4FBC"/>
    <w:rsid w:val="1F915B6F"/>
    <w:rsid w:val="1F9951FF"/>
    <w:rsid w:val="1F9F033C"/>
    <w:rsid w:val="1FA63478"/>
    <w:rsid w:val="1FBB4BD6"/>
    <w:rsid w:val="1FCD647D"/>
    <w:rsid w:val="1FD44489"/>
    <w:rsid w:val="1FE13957"/>
    <w:rsid w:val="1FE547CB"/>
    <w:rsid w:val="1FE87F35"/>
    <w:rsid w:val="1FEC17D3"/>
    <w:rsid w:val="204131A1"/>
    <w:rsid w:val="20484530"/>
    <w:rsid w:val="20555213"/>
    <w:rsid w:val="207D6428"/>
    <w:rsid w:val="20B63B8F"/>
    <w:rsid w:val="20C462AC"/>
    <w:rsid w:val="20CC5161"/>
    <w:rsid w:val="20D9162C"/>
    <w:rsid w:val="20EA5E06"/>
    <w:rsid w:val="20EE3329"/>
    <w:rsid w:val="21020B82"/>
    <w:rsid w:val="211C60E8"/>
    <w:rsid w:val="211E00FA"/>
    <w:rsid w:val="21236155"/>
    <w:rsid w:val="213114F7"/>
    <w:rsid w:val="21554285"/>
    <w:rsid w:val="2181419D"/>
    <w:rsid w:val="21821CC3"/>
    <w:rsid w:val="21845A3B"/>
    <w:rsid w:val="21867A05"/>
    <w:rsid w:val="21A954A2"/>
    <w:rsid w:val="21C14247"/>
    <w:rsid w:val="21D56297"/>
    <w:rsid w:val="21F229A5"/>
    <w:rsid w:val="222A552C"/>
    <w:rsid w:val="222C77F5"/>
    <w:rsid w:val="22523D97"/>
    <w:rsid w:val="225E003A"/>
    <w:rsid w:val="22616D16"/>
    <w:rsid w:val="22853819"/>
    <w:rsid w:val="22A85759"/>
    <w:rsid w:val="22CB3944"/>
    <w:rsid w:val="22D8603F"/>
    <w:rsid w:val="230E380E"/>
    <w:rsid w:val="231336BF"/>
    <w:rsid w:val="231B5F2B"/>
    <w:rsid w:val="2329689A"/>
    <w:rsid w:val="23356FED"/>
    <w:rsid w:val="233A4603"/>
    <w:rsid w:val="23452FA8"/>
    <w:rsid w:val="235F050E"/>
    <w:rsid w:val="236454ED"/>
    <w:rsid w:val="23675615"/>
    <w:rsid w:val="23751ADF"/>
    <w:rsid w:val="23757D31"/>
    <w:rsid w:val="238241FC"/>
    <w:rsid w:val="23871813"/>
    <w:rsid w:val="239D7513"/>
    <w:rsid w:val="23FF584D"/>
    <w:rsid w:val="2426102C"/>
    <w:rsid w:val="244D65B8"/>
    <w:rsid w:val="2466220E"/>
    <w:rsid w:val="24912949"/>
    <w:rsid w:val="24916353"/>
    <w:rsid w:val="24B93C4E"/>
    <w:rsid w:val="24E52C95"/>
    <w:rsid w:val="24F353B2"/>
    <w:rsid w:val="24FC00D3"/>
    <w:rsid w:val="252C2672"/>
    <w:rsid w:val="254259F1"/>
    <w:rsid w:val="254E0BC5"/>
    <w:rsid w:val="255A0F8D"/>
    <w:rsid w:val="256404E8"/>
    <w:rsid w:val="256718FC"/>
    <w:rsid w:val="25697422"/>
    <w:rsid w:val="257C53A7"/>
    <w:rsid w:val="258B7398"/>
    <w:rsid w:val="258D0AD6"/>
    <w:rsid w:val="25951FC5"/>
    <w:rsid w:val="25B34D67"/>
    <w:rsid w:val="25CB036F"/>
    <w:rsid w:val="25D36F91"/>
    <w:rsid w:val="25D54AB7"/>
    <w:rsid w:val="25E665E2"/>
    <w:rsid w:val="25FA62CC"/>
    <w:rsid w:val="2604714B"/>
    <w:rsid w:val="261A4BC0"/>
    <w:rsid w:val="261B5A48"/>
    <w:rsid w:val="261C38BD"/>
    <w:rsid w:val="26243349"/>
    <w:rsid w:val="264A2B7F"/>
    <w:rsid w:val="264A7253"/>
    <w:rsid w:val="264F486A"/>
    <w:rsid w:val="2668592C"/>
    <w:rsid w:val="267D4CCD"/>
    <w:rsid w:val="267E0CAB"/>
    <w:rsid w:val="26BF04D4"/>
    <w:rsid w:val="26CB4CDA"/>
    <w:rsid w:val="26D66D39"/>
    <w:rsid w:val="26EA7717"/>
    <w:rsid w:val="2702368A"/>
    <w:rsid w:val="2705317A"/>
    <w:rsid w:val="271138CD"/>
    <w:rsid w:val="27127645"/>
    <w:rsid w:val="272A11D3"/>
    <w:rsid w:val="27400656"/>
    <w:rsid w:val="274F2647"/>
    <w:rsid w:val="275814FC"/>
    <w:rsid w:val="275F6D2E"/>
    <w:rsid w:val="27B506FD"/>
    <w:rsid w:val="27BA21B7"/>
    <w:rsid w:val="27C76682"/>
    <w:rsid w:val="27CD0097"/>
    <w:rsid w:val="27E0206E"/>
    <w:rsid w:val="27EB2370"/>
    <w:rsid w:val="27F84A8D"/>
    <w:rsid w:val="27FD02F5"/>
    <w:rsid w:val="280B27A6"/>
    <w:rsid w:val="280E7144"/>
    <w:rsid w:val="28164F13"/>
    <w:rsid w:val="28243AD4"/>
    <w:rsid w:val="28313924"/>
    <w:rsid w:val="285C326E"/>
    <w:rsid w:val="285F68BA"/>
    <w:rsid w:val="28700AC7"/>
    <w:rsid w:val="28781ED2"/>
    <w:rsid w:val="28996270"/>
    <w:rsid w:val="28BB5D28"/>
    <w:rsid w:val="28C80903"/>
    <w:rsid w:val="28F434A6"/>
    <w:rsid w:val="29210904"/>
    <w:rsid w:val="29637908"/>
    <w:rsid w:val="296C74E1"/>
    <w:rsid w:val="297A4C65"/>
    <w:rsid w:val="297C4141"/>
    <w:rsid w:val="29B844D4"/>
    <w:rsid w:val="29F80D74"/>
    <w:rsid w:val="2A176B24"/>
    <w:rsid w:val="2A285235"/>
    <w:rsid w:val="2A3049B2"/>
    <w:rsid w:val="2A3F0751"/>
    <w:rsid w:val="2A473AAA"/>
    <w:rsid w:val="2A4A6D5D"/>
    <w:rsid w:val="2A4E6BE6"/>
    <w:rsid w:val="2A5E151F"/>
    <w:rsid w:val="2A756869"/>
    <w:rsid w:val="2A7A3E7F"/>
    <w:rsid w:val="2A900FAD"/>
    <w:rsid w:val="2A916122"/>
    <w:rsid w:val="2A946D87"/>
    <w:rsid w:val="2A9C3DF6"/>
    <w:rsid w:val="2AA0317E"/>
    <w:rsid w:val="2AAF3B29"/>
    <w:rsid w:val="2AD25A69"/>
    <w:rsid w:val="2AF459E0"/>
    <w:rsid w:val="2B140A3D"/>
    <w:rsid w:val="2B193698"/>
    <w:rsid w:val="2B231E21"/>
    <w:rsid w:val="2B591CE7"/>
    <w:rsid w:val="2B69794E"/>
    <w:rsid w:val="2B6D7540"/>
    <w:rsid w:val="2B717030"/>
    <w:rsid w:val="2B762C31"/>
    <w:rsid w:val="2B8723B0"/>
    <w:rsid w:val="2B9351F9"/>
    <w:rsid w:val="2BA70CA4"/>
    <w:rsid w:val="2BCE1493"/>
    <w:rsid w:val="2BD6458D"/>
    <w:rsid w:val="2BD74AE2"/>
    <w:rsid w:val="2BED5200"/>
    <w:rsid w:val="2BFF463C"/>
    <w:rsid w:val="2C10644A"/>
    <w:rsid w:val="2C2F4463"/>
    <w:rsid w:val="2C493B09"/>
    <w:rsid w:val="2C576414"/>
    <w:rsid w:val="2C7C3EDF"/>
    <w:rsid w:val="2C7F577D"/>
    <w:rsid w:val="2CB05936"/>
    <w:rsid w:val="2CE37ABA"/>
    <w:rsid w:val="2CE4229A"/>
    <w:rsid w:val="2CF36CB7"/>
    <w:rsid w:val="2CFB12A7"/>
    <w:rsid w:val="2D377E06"/>
    <w:rsid w:val="2D524C40"/>
    <w:rsid w:val="2D533FE2"/>
    <w:rsid w:val="2D596709"/>
    <w:rsid w:val="2D5A29D3"/>
    <w:rsid w:val="2D5E4938"/>
    <w:rsid w:val="2D5E5392"/>
    <w:rsid w:val="2D6055AE"/>
    <w:rsid w:val="2D6B7AAF"/>
    <w:rsid w:val="2D79212A"/>
    <w:rsid w:val="2D8D3ECA"/>
    <w:rsid w:val="2DC21A21"/>
    <w:rsid w:val="2DC53663"/>
    <w:rsid w:val="2DD83397"/>
    <w:rsid w:val="2E0B5B4E"/>
    <w:rsid w:val="2E2624B0"/>
    <w:rsid w:val="2E3F51C4"/>
    <w:rsid w:val="2E514EF7"/>
    <w:rsid w:val="2E570737"/>
    <w:rsid w:val="2E641902"/>
    <w:rsid w:val="2E644C2A"/>
    <w:rsid w:val="2E877F96"/>
    <w:rsid w:val="2E8D23D3"/>
    <w:rsid w:val="2E963383"/>
    <w:rsid w:val="2EA65243"/>
    <w:rsid w:val="2EA80461"/>
    <w:rsid w:val="2EAB0AAB"/>
    <w:rsid w:val="2EAE2349"/>
    <w:rsid w:val="2ECD6C74"/>
    <w:rsid w:val="2EDD678B"/>
    <w:rsid w:val="2EE93382"/>
    <w:rsid w:val="2EF51F37"/>
    <w:rsid w:val="2F097580"/>
    <w:rsid w:val="2F405ECB"/>
    <w:rsid w:val="2F5922B5"/>
    <w:rsid w:val="2F650C5A"/>
    <w:rsid w:val="2F6F7D2B"/>
    <w:rsid w:val="2F745498"/>
    <w:rsid w:val="2F7E1D1C"/>
    <w:rsid w:val="2F8074B8"/>
    <w:rsid w:val="2FA379D4"/>
    <w:rsid w:val="2FD302BA"/>
    <w:rsid w:val="2FD656B4"/>
    <w:rsid w:val="3003253B"/>
    <w:rsid w:val="30102AB8"/>
    <w:rsid w:val="301D32E3"/>
    <w:rsid w:val="303B7C0D"/>
    <w:rsid w:val="30542A7D"/>
    <w:rsid w:val="30705B08"/>
    <w:rsid w:val="3086432B"/>
    <w:rsid w:val="30BA3228"/>
    <w:rsid w:val="30C12CA5"/>
    <w:rsid w:val="30C6397A"/>
    <w:rsid w:val="30CE0A81"/>
    <w:rsid w:val="30D50061"/>
    <w:rsid w:val="30DA2EB5"/>
    <w:rsid w:val="30F36E3B"/>
    <w:rsid w:val="30F524B2"/>
    <w:rsid w:val="310D15A9"/>
    <w:rsid w:val="3115045E"/>
    <w:rsid w:val="31280464"/>
    <w:rsid w:val="31336152"/>
    <w:rsid w:val="313D63DB"/>
    <w:rsid w:val="314B20D2"/>
    <w:rsid w:val="316D0D99"/>
    <w:rsid w:val="317258B0"/>
    <w:rsid w:val="31771119"/>
    <w:rsid w:val="31794E91"/>
    <w:rsid w:val="31837ABD"/>
    <w:rsid w:val="3185644C"/>
    <w:rsid w:val="31992E3D"/>
    <w:rsid w:val="31B25CAD"/>
    <w:rsid w:val="31C854D0"/>
    <w:rsid w:val="31CF685F"/>
    <w:rsid w:val="31E06CBE"/>
    <w:rsid w:val="31E340B8"/>
    <w:rsid w:val="31E57E30"/>
    <w:rsid w:val="3209304F"/>
    <w:rsid w:val="320C094E"/>
    <w:rsid w:val="320F30FF"/>
    <w:rsid w:val="32211BAB"/>
    <w:rsid w:val="322E5C7B"/>
    <w:rsid w:val="32785148"/>
    <w:rsid w:val="32B83797"/>
    <w:rsid w:val="32BD0DAD"/>
    <w:rsid w:val="32BF4ECF"/>
    <w:rsid w:val="32C20171"/>
    <w:rsid w:val="32C739DA"/>
    <w:rsid w:val="32CB46D0"/>
    <w:rsid w:val="32D57EA5"/>
    <w:rsid w:val="32DE2E9F"/>
    <w:rsid w:val="32DF2AD1"/>
    <w:rsid w:val="32E20814"/>
    <w:rsid w:val="32EE0566"/>
    <w:rsid w:val="32F742BF"/>
    <w:rsid w:val="33082A34"/>
    <w:rsid w:val="331A1D5C"/>
    <w:rsid w:val="332854C6"/>
    <w:rsid w:val="332C1A8F"/>
    <w:rsid w:val="332C2451"/>
    <w:rsid w:val="33315BEE"/>
    <w:rsid w:val="3344502A"/>
    <w:rsid w:val="33572FB0"/>
    <w:rsid w:val="33661445"/>
    <w:rsid w:val="33721B98"/>
    <w:rsid w:val="337771AE"/>
    <w:rsid w:val="3398789D"/>
    <w:rsid w:val="339935C8"/>
    <w:rsid w:val="33A85122"/>
    <w:rsid w:val="33B51A84"/>
    <w:rsid w:val="33B74D26"/>
    <w:rsid w:val="34014CC9"/>
    <w:rsid w:val="34117602"/>
    <w:rsid w:val="34211293"/>
    <w:rsid w:val="3449796B"/>
    <w:rsid w:val="344F1ED9"/>
    <w:rsid w:val="347B1BE3"/>
    <w:rsid w:val="348A4CBF"/>
    <w:rsid w:val="3497156C"/>
    <w:rsid w:val="34AE30A3"/>
    <w:rsid w:val="34B47F8E"/>
    <w:rsid w:val="34C91C8B"/>
    <w:rsid w:val="34F441F1"/>
    <w:rsid w:val="34F44E6F"/>
    <w:rsid w:val="352001C4"/>
    <w:rsid w:val="35305866"/>
    <w:rsid w:val="35447564"/>
    <w:rsid w:val="35492DCC"/>
    <w:rsid w:val="356E5D01"/>
    <w:rsid w:val="359F479A"/>
    <w:rsid w:val="35B77D36"/>
    <w:rsid w:val="35C30488"/>
    <w:rsid w:val="35D22DC1"/>
    <w:rsid w:val="35E36D7D"/>
    <w:rsid w:val="35F92264"/>
    <w:rsid w:val="362E6144"/>
    <w:rsid w:val="36321AB2"/>
    <w:rsid w:val="36421FC0"/>
    <w:rsid w:val="365B4B65"/>
    <w:rsid w:val="365C3464"/>
    <w:rsid w:val="36785717"/>
    <w:rsid w:val="367D7801"/>
    <w:rsid w:val="36E75E6A"/>
    <w:rsid w:val="36E83F1F"/>
    <w:rsid w:val="36EF34FF"/>
    <w:rsid w:val="36FD79CA"/>
    <w:rsid w:val="37025991"/>
    <w:rsid w:val="370C7ADC"/>
    <w:rsid w:val="3715645C"/>
    <w:rsid w:val="371B447C"/>
    <w:rsid w:val="37607F59"/>
    <w:rsid w:val="37751C56"/>
    <w:rsid w:val="37874E28"/>
    <w:rsid w:val="378B6901"/>
    <w:rsid w:val="37B549F8"/>
    <w:rsid w:val="37B704C1"/>
    <w:rsid w:val="37BC5AD7"/>
    <w:rsid w:val="37C077B1"/>
    <w:rsid w:val="37CD35DE"/>
    <w:rsid w:val="37EF7C5B"/>
    <w:rsid w:val="37FF1083"/>
    <w:rsid w:val="380134EA"/>
    <w:rsid w:val="38042FDA"/>
    <w:rsid w:val="380F3E59"/>
    <w:rsid w:val="38406CB4"/>
    <w:rsid w:val="3842422E"/>
    <w:rsid w:val="384E1C9E"/>
    <w:rsid w:val="387E4B3B"/>
    <w:rsid w:val="3882287D"/>
    <w:rsid w:val="38A00F55"/>
    <w:rsid w:val="38A20DF8"/>
    <w:rsid w:val="38CA5FD2"/>
    <w:rsid w:val="38D15815"/>
    <w:rsid w:val="38E928FC"/>
    <w:rsid w:val="38EF77E6"/>
    <w:rsid w:val="3905439A"/>
    <w:rsid w:val="39096AFA"/>
    <w:rsid w:val="391060DB"/>
    <w:rsid w:val="3914608F"/>
    <w:rsid w:val="3914724D"/>
    <w:rsid w:val="3954669D"/>
    <w:rsid w:val="39663F4D"/>
    <w:rsid w:val="399F12FC"/>
    <w:rsid w:val="39A131D7"/>
    <w:rsid w:val="39A55AE7"/>
    <w:rsid w:val="39D37108"/>
    <w:rsid w:val="39DA2245"/>
    <w:rsid w:val="39E41E70"/>
    <w:rsid w:val="3A0F6392"/>
    <w:rsid w:val="3A1439A9"/>
    <w:rsid w:val="3A523063"/>
    <w:rsid w:val="3A5A053C"/>
    <w:rsid w:val="3A661D2A"/>
    <w:rsid w:val="3A7601BF"/>
    <w:rsid w:val="3AA1633F"/>
    <w:rsid w:val="3AA52853"/>
    <w:rsid w:val="3AA82343"/>
    <w:rsid w:val="3AB26D1E"/>
    <w:rsid w:val="3AC30F2B"/>
    <w:rsid w:val="3ADB55AE"/>
    <w:rsid w:val="3B0826AA"/>
    <w:rsid w:val="3B253993"/>
    <w:rsid w:val="3B273268"/>
    <w:rsid w:val="3B4E2EEA"/>
    <w:rsid w:val="3B556027"/>
    <w:rsid w:val="3B7B14A9"/>
    <w:rsid w:val="3B7D557D"/>
    <w:rsid w:val="3B892174"/>
    <w:rsid w:val="3B93588B"/>
    <w:rsid w:val="3B9F48B6"/>
    <w:rsid w:val="3BCB62E9"/>
    <w:rsid w:val="3BDF3B42"/>
    <w:rsid w:val="3BEB408A"/>
    <w:rsid w:val="3BED2703"/>
    <w:rsid w:val="3BED44B1"/>
    <w:rsid w:val="3BF13876"/>
    <w:rsid w:val="3C2F4ACA"/>
    <w:rsid w:val="3C4D1ED7"/>
    <w:rsid w:val="3C5E5A6C"/>
    <w:rsid w:val="3C8260B9"/>
    <w:rsid w:val="3C8D6DE4"/>
    <w:rsid w:val="3C9C7C85"/>
    <w:rsid w:val="3C9E57AB"/>
    <w:rsid w:val="3CAB1C17"/>
    <w:rsid w:val="3CCA47F2"/>
    <w:rsid w:val="3CED6733"/>
    <w:rsid w:val="3D121FFC"/>
    <w:rsid w:val="3D32208C"/>
    <w:rsid w:val="3D6469F5"/>
    <w:rsid w:val="3D670293"/>
    <w:rsid w:val="3D826E7B"/>
    <w:rsid w:val="3D892BA4"/>
    <w:rsid w:val="3D9F57C3"/>
    <w:rsid w:val="3DB520C9"/>
    <w:rsid w:val="3DCE00A6"/>
    <w:rsid w:val="3DCE3E6E"/>
    <w:rsid w:val="3DE11DF4"/>
    <w:rsid w:val="3DEC0798"/>
    <w:rsid w:val="3E1321C9"/>
    <w:rsid w:val="3E297D6F"/>
    <w:rsid w:val="3E324F16"/>
    <w:rsid w:val="3E35213F"/>
    <w:rsid w:val="3E3C10AD"/>
    <w:rsid w:val="3E4B3711"/>
    <w:rsid w:val="3E6B27DF"/>
    <w:rsid w:val="3E6D7239"/>
    <w:rsid w:val="3E8A3B75"/>
    <w:rsid w:val="3EB219E2"/>
    <w:rsid w:val="3ED216FD"/>
    <w:rsid w:val="3EF84F22"/>
    <w:rsid w:val="3F0D4E6A"/>
    <w:rsid w:val="3F1579C5"/>
    <w:rsid w:val="3F23643C"/>
    <w:rsid w:val="3F4E44F6"/>
    <w:rsid w:val="3F5900B0"/>
    <w:rsid w:val="3F942E96"/>
    <w:rsid w:val="3FB157F6"/>
    <w:rsid w:val="3FB86B84"/>
    <w:rsid w:val="3FBA6DA0"/>
    <w:rsid w:val="3FDA2F9E"/>
    <w:rsid w:val="3FDD0F9A"/>
    <w:rsid w:val="3FE86C46"/>
    <w:rsid w:val="400B75FC"/>
    <w:rsid w:val="401F09B1"/>
    <w:rsid w:val="40582DB5"/>
    <w:rsid w:val="407A652F"/>
    <w:rsid w:val="40833636"/>
    <w:rsid w:val="409969B6"/>
    <w:rsid w:val="409C3CA3"/>
    <w:rsid w:val="40A03C67"/>
    <w:rsid w:val="40B27A77"/>
    <w:rsid w:val="40D02AC3"/>
    <w:rsid w:val="40D34945"/>
    <w:rsid w:val="40E1035D"/>
    <w:rsid w:val="40FD1FC9"/>
    <w:rsid w:val="416845DA"/>
    <w:rsid w:val="416A65A4"/>
    <w:rsid w:val="417D0085"/>
    <w:rsid w:val="417E3DFD"/>
    <w:rsid w:val="419D0727"/>
    <w:rsid w:val="41A7646C"/>
    <w:rsid w:val="41C815C4"/>
    <w:rsid w:val="41F83BB0"/>
    <w:rsid w:val="42041029"/>
    <w:rsid w:val="42090E17"/>
    <w:rsid w:val="420C31B7"/>
    <w:rsid w:val="4235270E"/>
    <w:rsid w:val="42426BD9"/>
    <w:rsid w:val="424378FA"/>
    <w:rsid w:val="42462B6D"/>
    <w:rsid w:val="428C42F8"/>
    <w:rsid w:val="42A87FE5"/>
    <w:rsid w:val="42B0448A"/>
    <w:rsid w:val="42D00689"/>
    <w:rsid w:val="42F36125"/>
    <w:rsid w:val="43140575"/>
    <w:rsid w:val="431C38CE"/>
    <w:rsid w:val="43374264"/>
    <w:rsid w:val="435E17AC"/>
    <w:rsid w:val="43771CC5"/>
    <w:rsid w:val="43906868"/>
    <w:rsid w:val="439C056B"/>
    <w:rsid w:val="43AA0EDA"/>
    <w:rsid w:val="43AE7B97"/>
    <w:rsid w:val="43C732BE"/>
    <w:rsid w:val="43E837B0"/>
    <w:rsid w:val="43F32881"/>
    <w:rsid w:val="44000AFA"/>
    <w:rsid w:val="44205D4F"/>
    <w:rsid w:val="44496945"/>
    <w:rsid w:val="445553C3"/>
    <w:rsid w:val="445B167F"/>
    <w:rsid w:val="44615A3C"/>
    <w:rsid w:val="4494718F"/>
    <w:rsid w:val="449F4205"/>
    <w:rsid w:val="44B32010"/>
    <w:rsid w:val="44C67F95"/>
    <w:rsid w:val="44E26451"/>
    <w:rsid w:val="44EB79FC"/>
    <w:rsid w:val="44EE129A"/>
    <w:rsid w:val="450308A1"/>
    <w:rsid w:val="451C1963"/>
    <w:rsid w:val="45230F44"/>
    <w:rsid w:val="453C3DB3"/>
    <w:rsid w:val="45541DA6"/>
    <w:rsid w:val="457D2DA9"/>
    <w:rsid w:val="45813EBC"/>
    <w:rsid w:val="458C28F0"/>
    <w:rsid w:val="458F482B"/>
    <w:rsid w:val="459B6D2C"/>
    <w:rsid w:val="45A51959"/>
    <w:rsid w:val="45A71B75"/>
    <w:rsid w:val="45C75D73"/>
    <w:rsid w:val="45D73ADC"/>
    <w:rsid w:val="45F32846"/>
    <w:rsid w:val="46144D30"/>
    <w:rsid w:val="461B1C1B"/>
    <w:rsid w:val="462B3655"/>
    <w:rsid w:val="46696E2A"/>
    <w:rsid w:val="46C16C66"/>
    <w:rsid w:val="46C91614"/>
    <w:rsid w:val="46F10BCE"/>
    <w:rsid w:val="47060B1D"/>
    <w:rsid w:val="47152B0E"/>
    <w:rsid w:val="475F0927"/>
    <w:rsid w:val="47613407"/>
    <w:rsid w:val="47727F60"/>
    <w:rsid w:val="47867568"/>
    <w:rsid w:val="478E0372"/>
    <w:rsid w:val="478F0B12"/>
    <w:rsid w:val="478F28C0"/>
    <w:rsid w:val="479B74B7"/>
    <w:rsid w:val="47AF131E"/>
    <w:rsid w:val="47CC7EF7"/>
    <w:rsid w:val="480A0665"/>
    <w:rsid w:val="48126A4D"/>
    <w:rsid w:val="483B2A48"/>
    <w:rsid w:val="484A61BF"/>
    <w:rsid w:val="48713324"/>
    <w:rsid w:val="48920F0F"/>
    <w:rsid w:val="48D662CD"/>
    <w:rsid w:val="48D75EE9"/>
    <w:rsid w:val="48F36E7F"/>
    <w:rsid w:val="4904108C"/>
    <w:rsid w:val="4910358D"/>
    <w:rsid w:val="491F7C74"/>
    <w:rsid w:val="492141FC"/>
    <w:rsid w:val="492A064C"/>
    <w:rsid w:val="49331D3C"/>
    <w:rsid w:val="49342088"/>
    <w:rsid w:val="493C25D4"/>
    <w:rsid w:val="495C247E"/>
    <w:rsid w:val="49931424"/>
    <w:rsid w:val="49AE2DA6"/>
    <w:rsid w:val="49CB1BAA"/>
    <w:rsid w:val="49D15412"/>
    <w:rsid w:val="49D85117"/>
    <w:rsid w:val="49E14F29"/>
    <w:rsid w:val="49F32D8A"/>
    <w:rsid w:val="49F42EAF"/>
    <w:rsid w:val="4A1672C9"/>
    <w:rsid w:val="4A233794"/>
    <w:rsid w:val="4A5B2F2E"/>
    <w:rsid w:val="4A6C513B"/>
    <w:rsid w:val="4A96396C"/>
    <w:rsid w:val="4AB34B18"/>
    <w:rsid w:val="4AC9763E"/>
    <w:rsid w:val="4AFE2E05"/>
    <w:rsid w:val="4B1E410C"/>
    <w:rsid w:val="4B5160DF"/>
    <w:rsid w:val="4B5A4F93"/>
    <w:rsid w:val="4B685902"/>
    <w:rsid w:val="4B6D2F19"/>
    <w:rsid w:val="4B700C5B"/>
    <w:rsid w:val="4B797B0F"/>
    <w:rsid w:val="4BC10550"/>
    <w:rsid w:val="4BC114B6"/>
    <w:rsid w:val="4BC15658"/>
    <w:rsid w:val="4BC77561"/>
    <w:rsid w:val="4BCB7C3F"/>
    <w:rsid w:val="4BF43EA0"/>
    <w:rsid w:val="4C027573"/>
    <w:rsid w:val="4C0A69B9"/>
    <w:rsid w:val="4C270BDC"/>
    <w:rsid w:val="4C35155C"/>
    <w:rsid w:val="4C406F8A"/>
    <w:rsid w:val="4C525805"/>
    <w:rsid w:val="4C6205A3"/>
    <w:rsid w:val="4C6B694D"/>
    <w:rsid w:val="4C72630D"/>
    <w:rsid w:val="4CA50490"/>
    <w:rsid w:val="4CC50B32"/>
    <w:rsid w:val="4CD82614"/>
    <w:rsid w:val="4CE2626E"/>
    <w:rsid w:val="4CE74F4D"/>
    <w:rsid w:val="4CF82CB6"/>
    <w:rsid w:val="4D137AF0"/>
    <w:rsid w:val="4D2310DA"/>
    <w:rsid w:val="4D245859"/>
    <w:rsid w:val="4D26413A"/>
    <w:rsid w:val="4D330192"/>
    <w:rsid w:val="4D4A15EE"/>
    <w:rsid w:val="4D7B4963"/>
    <w:rsid w:val="4D7F33D7"/>
    <w:rsid w:val="4D956757"/>
    <w:rsid w:val="4D96265C"/>
    <w:rsid w:val="4D9C7AE5"/>
    <w:rsid w:val="4D9D560B"/>
    <w:rsid w:val="4DA370C6"/>
    <w:rsid w:val="4DAB7D28"/>
    <w:rsid w:val="4DAF7AE8"/>
    <w:rsid w:val="4DBE5CAD"/>
    <w:rsid w:val="4DC207E9"/>
    <w:rsid w:val="4DCF4924"/>
    <w:rsid w:val="4DD40319"/>
    <w:rsid w:val="4DFC67D6"/>
    <w:rsid w:val="4DFF1E22"/>
    <w:rsid w:val="4E031912"/>
    <w:rsid w:val="4E320449"/>
    <w:rsid w:val="4E510BE6"/>
    <w:rsid w:val="4E573A0C"/>
    <w:rsid w:val="4E656129"/>
    <w:rsid w:val="4E9702AC"/>
    <w:rsid w:val="4E9C28D9"/>
    <w:rsid w:val="4EA26CAC"/>
    <w:rsid w:val="4EAF1A9A"/>
    <w:rsid w:val="4ED65279"/>
    <w:rsid w:val="4EE47996"/>
    <w:rsid w:val="4EF23735"/>
    <w:rsid w:val="4F0A6CD0"/>
    <w:rsid w:val="4F204746"/>
    <w:rsid w:val="4F2C30EB"/>
    <w:rsid w:val="4F422A1A"/>
    <w:rsid w:val="4F550592"/>
    <w:rsid w:val="4F6103CC"/>
    <w:rsid w:val="4F6463E1"/>
    <w:rsid w:val="4F701229"/>
    <w:rsid w:val="4F8151E4"/>
    <w:rsid w:val="4FF57980"/>
    <w:rsid w:val="4FFF47C2"/>
    <w:rsid w:val="50047BC4"/>
    <w:rsid w:val="500E459E"/>
    <w:rsid w:val="503009B9"/>
    <w:rsid w:val="50454C4C"/>
    <w:rsid w:val="5051105B"/>
    <w:rsid w:val="509B6216"/>
    <w:rsid w:val="50A54F03"/>
    <w:rsid w:val="50C11611"/>
    <w:rsid w:val="50C22B3D"/>
    <w:rsid w:val="50C7131D"/>
    <w:rsid w:val="51002139"/>
    <w:rsid w:val="51031C29"/>
    <w:rsid w:val="51112598"/>
    <w:rsid w:val="512D5F83"/>
    <w:rsid w:val="51346287"/>
    <w:rsid w:val="51426BF5"/>
    <w:rsid w:val="514274C0"/>
    <w:rsid w:val="514C537E"/>
    <w:rsid w:val="516C3C72"/>
    <w:rsid w:val="51735001"/>
    <w:rsid w:val="518E5997"/>
    <w:rsid w:val="519D5BDA"/>
    <w:rsid w:val="51A4662C"/>
    <w:rsid w:val="51AE6039"/>
    <w:rsid w:val="51C55131"/>
    <w:rsid w:val="51DC0DF8"/>
    <w:rsid w:val="51E25CE3"/>
    <w:rsid w:val="51F43F8D"/>
    <w:rsid w:val="51FA74D0"/>
    <w:rsid w:val="520823C8"/>
    <w:rsid w:val="521B7F72"/>
    <w:rsid w:val="522D3402"/>
    <w:rsid w:val="523110E9"/>
    <w:rsid w:val="523A5B1F"/>
    <w:rsid w:val="523E560F"/>
    <w:rsid w:val="524349D3"/>
    <w:rsid w:val="524E3378"/>
    <w:rsid w:val="525210BA"/>
    <w:rsid w:val="525A3ACB"/>
    <w:rsid w:val="525B581D"/>
    <w:rsid w:val="52833022"/>
    <w:rsid w:val="52841C36"/>
    <w:rsid w:val="52990A97"/>
    <w:rsid w:val="52A71D52"/>
    <w:rsid w:val="52CF44B9"/>
    <w:rsid w:val="52F16BF7"/>
    <w:rsid w:val="52F43F1F"/>
    <w:rsid w:val="530103EA"/>
    <w:rsid w:val="53083527"/>
    <w:rsid w:val="53177C0E"/>
    <w:rsid w:val="53243914"/>
    <w:rsid w:val="53316F22"/>
    <w:rsid w:val="536C61AC"/>
    <w:rsid w:val="536F1BBE"/>
    <w:rsid w:val="5382612B"/>
    <w:rsid w:val="53AE0572"/>
    <w:rsid w:val="53DD2C05"/>
    <w:rsid w:val="53E06252"/>
    <w:rsid w:val="53F80750"/>
    <w:rsid w:val="54104D89"/>
    <w:rsid w:val="541A1764"/>
    <w:rsid w:val="54547704"/>
    <w:rsid w:val="545E1400"/>
    <w:rsid w:val="546F5F7E"/>
    <w:rsid w:val="54AB4AB2"/>
    <w:rsid w:val="54B46D84"/>
    <w:rsid w:val="54BC6CBF"/>
    <w:rsid w:val="54F14BBA"/>
    <w:rsid w:val="54FC355F"/>
    <w:rsid w:val="550348EE"/>
    <w:rsid w:val="551B5793"/>
    <w:rsid w:val="553A3D83"/>
    <w:rsid w:val="55407BB0"/>
    <w:rsid w:val="55473509"/>
    <w:rsid w:val="55496586"/>
    <w:rsid w:val="55717AA9"/>
    <w:rsid w:val="558E065B"/>
    <w:rsid w:val="55983288"/>
    <w:rsid w:val="55AA6B17"/>
    <w:rsid w:val="55AF412E"/>
    <w:rsid w:val="55EA577A"/>
    <w:rsid w:val="55F66200"/>
    <w:rsid w:val="560E2282"/>
    <w:rsid w:val="56170651"/>
    <w:rsid w:val="563B3C13"/>
    <w:rsid w:val="563D5BDD"/>
    <w:rsid w:val="5664256B"/>
    <w:rsid w:val="567A4558"/>
    <w:rsid w:val="56A152B1"/>
    <w:rsid w:val="56C41E5B"/>
    <w:rsid w:val="56CB31E9"/>
    <w:rsid w:val="56D3635E"/>
    <w:rsid w:val="56EB388B"/>
    <w:rsid w:val="56F24C1A"/>
    <w:rsid w:val="56FA587C"/>
    <w:rsid w:val="56FC4F7F"/>
    <w:rsid w:val="56FF7CE4"/>
    <w:rsid w:val="57120E18"/>
    <w:rsid w:val="5712706A"/>
    <w:rsid w:val="572648C3"/>
    <w:rsid w:val="573E1C0D"/>
    <w:rsid w:val="57407733"/>
    <w:rsid w:val="574C432A"/>
    <w:rsid w:val="576176AA"/>
    <w:rsid w:val="576F0018"/>
    <w:rsid w:val="577D0987"/>
    <w:rsid w:val="57A852D8"/>
    <w:rsid w:val="57C128C0"/>
    <w:rsid w:val="57FA3D86"/>
    <w:rsid w:val="57FB18AC"/>
    <w:rsid w:val="57FB7AFE"/>
    <w:rsid w:val="58044C05"/>
    <w:rsid w:val="582901C7"/>
    <w:rsid w:val="5842572D"/>
    <w:rsid w:val="585C31E5"/>
    <w:rsid w:val="585E6645"/>
    <w:rsid w:val="585F0874"/>
    <w:rsid w:val="5862192B"/>
    <w:rsid w:val="58845D45"/>
    <w:rsid w:val="58C3686E"/>
    <w:rsid w:val="58FC13AF"/>
    <w:rsid w:val="59172716"/>
    <w:rsid w:val="59213594"/>
    <w:rsid w:val="592A24C9"/>
    <w:rsid w:val="594F45F8"/>
    <w:rsid w:val="59705BAE"/>
    <w:rsid w:val="597B19FA"/>
    <w:rsid w:val="59C97EB4"/>
    <w:rsid w:val="59E06FAB"/>
    <w:rsid w:val="59EC3BA2"/>
    <w:rsid w:val="5A1B7FE4"/>
    <w:rsid w:val="5A1D70A3"/>
    <w:rsid w:val="5A1F7AD4"/>
    <w:rsid w:val="5A47317C"/>
    <w:rsid w:val="5A54020A"/>
    <w:rsid w:val="5AB45F1E"/>
    <w:rsid w:val="5ABE5311"/>
    <w:rsid w:val="5AC54FD9"/>
    <w:rsid w:val="5AC643F3"/>
    <w:rsid w:val="5AF75243"/>
    <w:rsid w:val="5B044F1C"/>
    <w:rsid w:val="5B0F2F87"/>
    <w:rsid w:val="5B13515F"/>
    <w:rsid w:val="5B182775"/>
    <w:rsid w:val="5B2D1569"/>
    <w:rsid w:val="5B497397"/>
    <w:rsid w:val="5B5639C9"/>
    <w:rsid w:val="5B6B4F9B"/>
    <w:rsid w:val="5B6D7514"/>
    <w:rsid w:val="5B8027AB"/>
    <w:rsid w:val="5B8B1199"/>
    <w:rsid w:val="5B90055D"/>
    <w:rsid w:val="5B9E120E"/>
    <w:rsid w:val="5BBA10AD"/>
    <w:rsid w:val="5BC62F1F"/>
    <w:rsid w:val="5C083DA6"/>
    <w:rsid w:val="5C19023E"/>
    <w:rsid w:val="5C1E448A"/>
    <w:rsid w:val="5C757E7F"/>
    <w:rsid w:val="5C853E3A"/>
    <w:rsid w:val="5C894B1F"/>
    <w:rsid w:val="5C9C18B0"/>
    <w:rsid w:val="5CA8355D"/>
    <w:rsid w:val="5CB36BF9"/>
    <w:rsid w:val="5CBA3AE4"/>
    <w:rsid w:val="5CC826A5"/>
    <w:rsid w:val="5CEB1EEF"/>
    <w:rsid w:val="5CF15754"/>
    <w:rsid w:val="5CFA4828"/>
    <w:rsid w:val="5D123920"/>
    <w:rsid w:val="5D375134"/>
    <w:rsid w:val="5D42436B"/>
    <w:rsid w:val="5D497FBE"/>
    <w:rsid w:val="5D592FA1"/>
    <w:rsid w:val="5D63417B"/>
    <w:rsid w:val="5D69550A"/>
    <w:rsid w:val="5D7F0889"/>
    <w:rsid w:val="5D814602"/>
    <w:rsid w:val="5D8B14CB"/>
    <w:rsid w:val="5DB76275"/>
    <w:rsid w:val="5DBB0226"/>
    <w:rsid w:val="5DC15346"/>
    <w:rsid w:val="5DC50992"/>
    <w:rsid w:val="5DF02C6F"/>
    <w:rsid w:val="5DF92ED0"/>
    <w:rsid w:val="5DFF4421"/>
    <w:rsid w:val="5E021BE6"/>
    <w:rsid w:val="5E1B7B71"/>
    <w:rsid w:val="5E251431"/>
    <w:rsid w:val="5E2C6C63"/>
    <w:rsid w:val="5E2E29DB"/>
    <w:rsid w:val="5E36363E"/>
    <w:rsid w:val="5E464238"/>
    <w:rsid w:val="5E695662"/>
    <w:rsid w:val="5E9B1744"/>
    <w:rsid w:val="5EC57691"/>
    <w:rsid w:val="5EEB6B93"/>
    <w:rsid w:val="5EFD25A0"/>
    <w:rsid w:val="5F04373C"/>
    <w:rsid w:val="5F0C439F"/>
    <w:rsid w:val="5F117C07"/>
    <w:rsid w:val="5F5F0972"/>
    <w:rsid w:val="5F7443A7"/>
    <w:rsid w:val="5F7A39FE"/>
    <w:rsid w:val="5F8D3732"/>
    <w:rsid w:val="5F903ADE"/>
    <w:rsid w:val="5F9745B0"/>
    <w:rsid w:val="5FA32F55"/>
    <w:rsid w:val="5FAA42E4"/>
    <w:rsid w:val="5FD01870"/>
    <w:rsid w:val="5FDA449D"/>
    <w:rsid w:val="5FE175D9"/>
    <w:rsid w:val="5FF217E7"/>
    <w:rsid w:val="600F4147"/>
    <w:rsid w:val="60326087"/>
    <w:rsid w:val="604C7149"/>
    <w:rsid w:val="604D2EC1"/>
    <w:rsid w:val="60687CFB"/>
    <w:rsid w:val="606C3347"/>
    <w:rsid w:val="60813B63"/>
    <w:rsid w:val="60997EB4"/>
    <w:rsid w:val="60A76232"/>
    <w:rsid w:val="60B42F6F"/>
    <w:rsid w:val="60D31CFC"/>
    <w:rsid w:val="60FD48E7"/>
    <w:rsid w:val="60FE635B"/>
    <w:rsid w:val="60FF240D"/>
    <w:rsid w:val="61691F7C"/>
    <w:rsid w:val="617A5F38"/>
    <w:rsid w:val="617C1CB0"/>
    <w:rsid w:val="617C3A5E"/>
    <w:rsid w:val="618741B1"/>
    <w:rsid w:val="618B3CA1"/>
    <w:rsid w:val="61944B29"/>
    <w:rsid w:val="619A2136"/>
    <w:rsid w:val="61A86601"/>
    <w:rsid w:val="61B256D1"/>
    <w:rsid w:val="61C3343B"/>
    <w:rsid w:val="61E32278"/>
    <w:rsid w:val="61E41603"/>
    <w:rsid w:val="61F71336"/>
    <w:rsid w:val="62035F2D"/>
    <w:rsid w:val="62194FFE"/>
    <w:rsid w:val="621B3277"/>
    <w:rsid w:val="622540F5"/>
    <w:rsid w:val="622B7232"/>
    <w:rsid w:val="625B7B17"/>
    <w:rsid w:val="626D784A"/>
    <w:rsid w:val="627110E9"/>
    <w:rsid w:val="627961EF"/>
    <w:rsid w:val="62AA32F0"/>
    <w:rsid w:val="62B64D4D"/>
    <w:rsid w:val="62C05BCC"/>
    <w:rsid w:val="62C531E2"/>
    <w:rsid w:val="62C70D09"/>
    <w:rsid w:val="62C751AC"/>
    <w:rsid w:val="62E0001C"/>
    <w:rsid w:val="62F902FA"/>
    <w:rsid w:val="63161C90"/>
    <w:rsid w:val="631C412D"/>
    <w:rsid w:val="631D27A2"/>
    <w:rsid w:val="633F11E7"/>
    <w:rsid w:val="634E142A"/>
    <w:rsid w:val="637B1AF3"/>
    <w:rsid w:val="63974B7F"/>
    <w:rsid w:val="63AA0EE7"/>
    <w:rsid w:val="63D062E3"/>
    <w:rsid w:val="63E87188"/>
    <w:rsid w:val="63EB0A27"/>
    <w:rsid w:val="63F06793"/>
    <w:rsid w:val="64177A6E"/>
    <w:rsid w:val="644A14A2"/>
    <w:rsid w:val="64AD3F2E"/>
    <w:rsid w:val="64B07502"/>
    <w:rsid w:val="64B239E1"/>
    <w:rsid w:val="64BC23C3"/>
    <w:rsid w:val="64CA2D32"/>
    <w:rsid w:val="64D43BB1"/>
    <w:rsid w:val="64E738E4"/>
    <w:rsid w:val="64E75692"/>
    <w:rsid w:val="64F0440B"/>
    <w:rsid w:val="6509385A"/>
    <w:rsid w:val="652C1DD4"/>
    <w:rsid w:val="654725D5"/>
    <w:rsid w:val="65515201"/>
    <w:rsid w:val="655254A5"/>
    <w:rsid w:val="6563091A"/>
    <w:rsid w:val="656C203B"/>
    <w:rsid w:val="65757142"/>
    <w:rsid w:val="65767E03"/>
    <w:rsid w:val="657D1B52"/>
    <w:rsid w:val="65954E34"/>
    <w:rsid w:val="65A244E2"/>
    <w:rsid w:val="65B55790"/>
    <w:rsid w:val="65B9209D"/>
    <w:rsid w:val="65CE3F5A"/>
    <w:rsid w:val="66026282"/>
    <w:rsid w:val="66082075"/>
    <w:rsid w:val="6609788A"/>
    <w:rsid w:val="66154481"/>
    <w:rsid w:val="662E109F"/>
    <w:rsid w:val="662F5543"/>
    <w:rsid w:val="663F1119"/>
    <w:rsid w:val="668F7D8F"/>
    <w:rsid w:val="669730E8"/>
    <w:rsid w:val="66A67CBB"/>
    <w:rsid w:val="66D41C46"/>
    <w:rsid w:val="66D85CF0"/>
    <w:rsid w:val="66E77BCB"/>
    <w:rsid w:val="670013A4"/>
    <w:rsid w:val="671F3301"/>
    <w:rsid w:val="67285223"/>
    <w:rsid w:val="67424E02"/>
    <w:rsid w:val="67535261"/>
    <w:rsid w:val="675B2367"/>
    <w:rsid w:val="6779459B"/>
    <w:rsid w:val="67801DCE"/>
    <w:rsid w:val="6794237B"/>
    <w:rsid w:val="679B09B6"/>
    <w:rsid w:val="67AE1DB5"/>
    <w:rsid w:val="67B101D9"/>
    <w:rsid w:val="67DA14DE"/>
    <w:rsid w:val="67F00D02"/>
    <w:rsid w:val="67FE2A02"/>
    <w:rsid w:val="68242759"/>
    <w:rsid w:val="685F4D31"/>
    <w:rsid w:val="68626A2B"/>
    <w:rsid w:val="687A4A6F"/>
    <w:rsid w:val="687E35FE"/>
    <w:rsid w:val="68833924"/>
    <w:rsid w:val="6890131A"/>
    <w:rsid w:val="68CF4DBB"/>
    <w:rsid w:val="68E36FA7"/>
    <w:rsid w:val="68ED5241"/>
    <w:rsid w:val="68F71FCC"/>
    <w:rsid w:val="69036813"/>
    <w:rsid w:val="690F6F65"/>
    <w:rsid w:val="691E189E"/>
    <w:rsid w:val="693370F8"/>
    <w:rsid w:val="69492365"/>
    <w:rsid w:val="69561384"/>
    <w:rsid w:val="69735746"/>
    <w:rsid w:val="697414BE"/>
    <w:rsid w:val="697B0DF9"/>
    <w:rsid w:val="697F233D"/>
    <w:rsid w:val="69856F33"/>
    <w:rsid w:val="69912070"/>
    <w:rsid w:val="69D37D91"/>
    <w:rsid w:val="69E14DA6"/>
    <w:rsid w:val="69F543AD"/>
    <w:rsid w:val="6A2151A2"/>
    <w:rsid w:val="6A2353BE"/>
    <w:rsid w:val="6A3F6D14"/>
    <w:rsid w:val="6A527AAD"/>
    <w:rsid w:val="6A5F216E"/>
    <w:rsid w:val="6A8644A1"/>
    <w:rsid w:val="6A896E47"/>
    <w:rsid w:val="6A9F107A"/>
    <w:rsid w:val="6AC63F9C"/>
    <w:rsid w:val="6ACA6605"/>
    <w:rsid w:val="6AE02E96"/>
    <w:rsid w:val="6AF9759E"/>
    <w:rsid w:val="6B0B7C00"/>
    <w:rsid w:val="6B135022"/>
    <w:rsid w:val="6B362ECF"/>
    <w:rsid w:val="6B513865"/>
    <w:rsid w:val="6B96396E"/>
    <w:rsid w:val="6BB126F5"/>
    <w:rsid w:val="6BC229B5"/>
    <w:rsid w:val="6BC701CE"/>
    <w:rsid w:val="6BCB1997"/>
    <w:rsid w:val="6BCF0A3C"/>
    <w:rsid w:val="6BE26BB3"/>
    <w:rsid w:val="6BFD5A91"/>
    <w:rsid w:val="6C45634E"/>
    <w:rsid w:val="6C5850C7"/>
    <w:rsid w:val="6C5C6268"/>
    <w:rsid w:val="6C8A3847"/>
    <w:rsid w:val="6C981ED9"/>
    <w:rsid w:val="6CB87914"/>
    <w:rsid w:val="6CC07657"/>
    <w:rsid w:val="6CE40709"/>
    <w:rsid w:val="6CF21078"/>
    <w:rsid w:val="6CF22E26"/>
    <w:rsid w:val="6D1A412B"/>
    <w:rsid w:val="6D307A4E"/>
    <w:rsid w:val="6D7C13B9"/>
    <w:rsid w:val="6D82541D"/>
    <w:rsid w:val="6DB225B5"/>
    <w:rsid w:val="6DC67757"/>
    <w:rsid w:val="6DCF4F15"/>
    <w:rsid w:val="6DE54739"/>
    <w:rsid w:val="6E070B53"/>
    <w:rsid w:val="6E331948"/>
    <w:rsid w:val="6E3B07FD"/>
    <w:rsid w:val="6E3F5067"/>
    <w:rsid w:val="6E4E22DE"/>
    <w:rsid w:val="6E5560DD"/>
    <w:rsid w:val="6E5D0773"/>
    <w:rsid w:val="6E722846"/>
    <w:rsid w:val="6E82467D"/>
    <w:rsid w:val="6E850527"/>
    <w:rsid w:val="6E8D386E"/>
    <w:rsid w:val="6E8E6B7E"/>
    <w:rsid w:val="6E9323E7"/>
    <w:rsid w:val="6E971ED7"/>
    <w:rsid w:val="6EED5F9B"/>
    <w:rsid w:val="6EF54E4F"/>
    <w:rsid w:val="6F0137F4"/>
    <w:rsid w:val="6F305E87"/>
    <w:rsid w:val="6F3C482C"/>
    <w:rsid w:val="6F3F7CA3"/>
    <w:rsid w:val="6F5E47A3"/>
    <w:rsid w:val="6F653D83"/>
    <w:rsid w:val="6F7044D6"/>
    <w:rsid w:val="6F7E6BF3"/>
    <w:rsid w:val="6F800BBD"/>
    <w:rsid w:val="6FAC3760"/>
    <w:rsid w:val="6FC84312"/>
    <w:rsid w:val="6FD34D79"/>
    <w:rsid w:val="70187047"/>
    <w:rsid w:val="702A0B29"/>
    <w:rsid w:val="7040034C"/>
    <w:rsid w:val="706B361B"/>
    <w:rsid w:val="70840E08"/>
    <w:rsid w:val="7086037F"/>
    <w:rsid w:val="70875F7B"/>
    <w:rsid w:val="709548C8"/>
    <w:rsid w:val="709F1517"/>
    <w:rsid w:val="70A4315C"/>
    <w:rsid w:val="70BA1EAD"/>
    <w:rsid w:val="70BF5715"/>
    <w:rsid w:val="70C607C5"/>
    <w:rsid w:val="71125845"/>
    <w:rsid w:val="71211F2C"/>
    <w:rsid w:val="7141437C"/>
    <w:rsid w:val="71431EA2"/>
    <w:rsid w:val="71535E5D"/>
    <w:rsid w:val="715C7408"/>
    <w:rsid w:val="71614A1E"/>
    <w:rsid w:val="71744751"/>
    <w:rsid w:val="717F3ECA"/>
    <w:rsid w:val="7191480A"/>
    <w:rsid w:val="71A010A2"/>
    <w:rsid w:val="71D7083C"/>
    <w:rsid w:val="71F87130"/>
    <w:rsid w:val="71FB09CF"/>
    <w:rsid w:val="720930EC"/>
    <w:rsid w:val="72111FA0"/>
    <w:rsid w:val="7218332F"/>
    <w:rsid w:val="72200435"/>
    <w:rsid w:val="72450106"/>
    <w:rsid w:val="72457E9C"/>
    <w:rsid w:val="724F2AC9"/>
    <w:rsid w:val="725A3947"/>
    <w:rsid w:val="726A7902"/>
    <w:rsid w:val="727E14FC"/>
    <w:rsid w:val="72AC1CC9"/>
    <w:rsid w:val="72B55021"/>
    <w:rsid w:val="72C56AE4"/>
    <w:rsid w:val="72D66726"/>
    <w:rsid w:val="72E256EB"/>
    <w:rsid w:val="72E6342D"/>
    <w:rsid w:val="730218E9"/>
    <w:rsid w:val="73064EE5"/>
    <w:rsid w:val="730D6C0C"/>
    <w:rsid w:val="731D16EF"/>
    <w:rsid w:val="73306456"/>
    <w:rsid w:val="73357F10"/>
    <w:rsid w:val="733C4DFB"/>
    <w:rsid w:val="733F6699"/>
    <w:rsid w:val="73440153"/>
    <w:rsid w:val="736A494A"/>
    <w:rsid w:val="737A3B75"/>
    <w:rsid w:val="73830C7C"/>
    <w:rsid w:val="73E01C2A"/>
    <w:rsid w:val="73F751C6"/>
    <w:rsid w:val="7406403E"/>
    <w:rsid w:val="7420471D"/>
    <w:rsid w:val="74392081"/>
    <w:rsid w:val="746A1E3C"/>
    <w:rsid w:val="746B6FBB"/>
    <w:rsid w:val="74884070"/>
    <w:rsid w:val="748A428C"/>
    <w:rsid w:val="74934DA5"/>
    <w:rsid w:val="74994B5E"/>
    <w:rsid w:val="749E3893"/>
    <w:rsid w:val="74C4154C"/>
    <w:rsid w:val="74D55484"/>
    <w:rsid w:val="74DA48CB"/>
    <w:rsid w:val="74ED20E9"/>
    <w:rsid w:val="74FD411B"/>
    <w:rsid w:val="750758DC"/>
    <w:rsid w:val="750E0A19"/>
    <w:rsid w:val="7541494A"/>
    <w:rsid w:val="7549765A"/>
    <w:rsid w:val="75526B58"/>
    <w:rsid w:val="7553580B"/>
    <w:rsid w:val="756D3991"/>
    <w:rsid w:val="759E3B4B"/>
    <w:rsid w:val="75B634FA"/>
    <w:rsid w:val="75BA46FD"/>
    <w:rsid w:val="75DA08FB"/>
    <w:rsid w:val="760A7432"/>
    <w:rsid w:val="76390455"/>
    <w:rsid w:val="76391AC6"/>
    <w:rsid w:val="76426BCC"/>
    <w:rsid w:val="764F12E9"/>
    <w:rsid w:val="76592C3A"/>
    <w:rsid w:val="76720117"/>
    <w:rsid w:val="76876CD5"/>
    <w:rsid w:val="768F7938"/>
    <w:rsid w:val="76D87530"/>
    <w:rsid w:val="76D90BB3"/>
    <w:rsid w:val="76D96F35"/>
    <w:rsid w:val="76DB5E63"/>
    <w:rsid w:val="76E1295B"/>
    <w:rsid w:val="76E45ED5"/>
    <w:rsid w:val="76F679B7"/>
    <w:rsid w:val="77007C0C"/>
    <w:rsid w:val="772B12FD"/>
    <w:rsid w:val="772E0EFE"/>
    <w:rsid w:val="7745445F"/>
    <w:rsid w:val="776C1A27"/>
    <w:rsid w:val="7789179E"/>
    <w:rsid w:val="779B5BC9"/>
    <w:rsid w:val="779D7E32"/>
    <w:rsid w:val="77A2063C"/>
    <w:rsid w:val="77B533CE"/>
    <w:rsid w:val="77E43CB3"/>
    <w:rsid w:val="77ED5650"/>
    <w:rsid w:val="780B7492"/>
    <w:rsid w:val="78177BE5"/>
    <w:rsid w:val="781A3B46"/>
    <w:rsid w:val="78514351"/>
    <w:rsid w:val="786646C8"/>
    <w:rsid w:val="787F02D3"/>
    <w:rsid w:val="788D71B5"/>
    <w:rsid w:val="789755F7"/>
    <w:rsid w:val="789E69F6"/>
    <w:rsid w:val="78A771BA"/>
    <w:rsid w:val="78A82EFF"/>
    <w:rsid w:val="78F120AC"/>
    <w:rsid w:val="79004A77"/>
    <w:rsid w:val="791365FE"/>
    <w:rsid w:val="792C3B64"/>
    <w:rsid w:val="793A6280"/>
    <w:rsid w:val="794E7636"/>
    <w:rsid w:val="79752E15"/>
    <w:rsid w:val="79780B57"/>
    <w:rsid w:val="79892D64"/>
    <w:rsid w:val="79B778D1"/>
    <w:rsid w:val="79DE7E7D"/>
    <w:rsid w:val="79DF2984"/>
    <w:rsid w:val="79F62775"/>
    <w:rsid w:val="79F75F20"/>
    <w:rsid w:val="7A100D8F"/>
    <w:rsid w:val="7A256189"/>
    <w:rsid w:val="7A28432B"/>
    <w:rsid w:val="7A2F7467"/>
    <w:rsid w:val="7A5F5873"/>
    <w:rsid w:val="7A603AC5"/>
    <w:rsid w:val="7A74131E"/>
    <w:rsid w:val="7A8F43AA"/>
    <w:rsid w:val="7A915244"/>
    <w:rsid w:val="7AA30CA1"/>
    <w:rsid w:val="7AB35BC5"/>
    <w:rsid w:val="7ABD0F17"/>
    <w:rsid w:val="7ACF3C5D"/>
    <w:rsid w:val="7AD324E9"/>
    <w:rsid w:val="7AD61FD9"/>
    <w:rsid w:val="7B0C1711"/>
    <w:rsid w:val="7B14665D"/>
    <w:rsid w:val="7B5178B1"/>
    <w:rsid w:val="7B551150"/>
    <w:rsid w:val="7B551175"/>
    <w:rsid w:val="7B5F1FCE"/>
    <w:rsid w:val="7B617FF9"/>
    <w:rsid w:val="7B826934"/>
    <w:rsid w:val="7BAE0860"/>
    <w:rsid w:val="7BB87930"/>
    <w:rsid w:val="7BCF08C1"/>
    <w:rsid w:val="7BD77DB7"/>
    <w:rsid w:val="7BDC717B"/>
    <w:rsid w:val="7C0E12FE"/>
    <w:rsid w:val="7C120DEF"/>
    <w:rsid w:val="7C183F2B"/>
    <w:rsid w:val="7C1E59E5"/>
    <w:rsid w:val="7C2324AB"/>
    <w:rsid w:val="7C246D74"/>
    <w:rsid w:val="7C3074C7"/>
    <w:rsid w:val="7C490589"/>
    <w:rsid w:val="7C5E4034"/>
    <w:rsid w:val="7C607083"/>
    <w:rsid w:val="7C611D76"/>
    <w:rsid w:val="7C6C4499"/>
    <w:rsid w:val="7C7A4BE6"/>
    <w:rsid w:val="7C865339"/>
    <w:rsid w:val="7C896BD7"/>
    <w:rsid w:val="7C8F0996"/>
    <w:rsid w:val="7C945CA8"/>
    <w:rsid w:val="7C9B7036"/>
    <w:rsid w:val="7CB86D02"/>
    <w:rsid w:val="7CB9602C"/>
    <w:rsid w:val="7CC145C3"/>
    <w:rsid w:val="7CC3033B"/>
    <w:rsid w:val="7CD32F23"/>
    <w:rsid w:val="7CE649CF"/>
    <w:rsid w:val="7CFC5E92"/>
    <w:rsid w:val="7D162B61"/>
    <w:rsid w:val="7D4476CE"/>
    <w:rsid w:val="7D4C0330"/>
    <w:rsid w:val="7D74056C"/>
    <w:rsid w:val="7D782ED3"/>
    <w:rsid w:val="7DA0067C"/>
    <w:rsid w:val="7DB14637"/>
    <w:rsid w:val="7DD81BC4"/>
    <w:rsid w:val="7DE1333D"/>
    <w:rsid w:val="7DF12C86"/>
    <w:rsid w:val="7E266DD3"/>
    <w:rsid w:val="7E635932"/>
    <w:rsid w:val="7E7F60A7"/>
    <w:rsid w:val="7E835FD4"/>
    <w:rsid w:val="7E9F0934"/>
    <w:rsid w:val="7EC363D0"/>
    <w:rsid w:val="7ECE781C"/>
    <w:rsid w:val="7ED40C13"/>
    <w:rsid w:val="7ED76320"/>
    <w:rsid w:val="7EDA196C"/>
    <w:rsid w:val="7EFC5D86"/>
    <w:rsid w:val="7F1C5816"/>
    <w:rsid w:val="7F2257ED"/>
    <w:rsid w:val="7F313C82"/>
    <w:rsid w:val="7F3A0649"/>
    <w:rsid w:val="7F3B240A"/>
    <w:rsid w:val="7F402117"/>
    <w:rsid w:val="7F531E4A"/>
    <w:rsid w:val="7F533BF8"/>
    <w:rsid w:val="7F62208D"/>
    <w:rsid w:val="7FBD3767"/>
    <w:rsid w:val="7FE743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黑体"/>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36"/>
    <w:unhideWhenUsed/>
    <w:qFormat/>
    <w:uiPriority w:val="9"/>
    <w:pPr>
      <w:keepNext/>
      <w:keepLines/>
      <w:spacing w:before="260" w:beforeLines="0" w:beforeAutospacing="0" w:after="260" w:afterLines="0" w:afterAutospacing="0" w:line="413" w:lineRule="auto"/>
      <w:outlineLvl w:val="2"/>
    </w:pPr>
    <w:rPr>
      <w:rFonts w:eastAsiaTheme="majorEastAsia"/>
      <w:b/>
      <w:sz w:val="24"/>
    </w:rPr>
  </w:style>
  <w:style w:type="paragraph" w:styleId="5">
    <w:name w:val="heading 4"/>
    <w:basedOn w:val="1"/>
    <w:next w:val="1"/>
    <w:link w:val="35"/>
    <w:semiHidden/>
    <w:unhideWhenUsed/>
    <w:qFormat/>
    <w:uiPriority w:val="9"/>
    <w:pPr>
      <w:keepNext/>
      <w:keepLines/>
      <w:spacing w:before="280" w:beforeLines="0" w:beforeAutospacing="0" w:after="290" w:afterLines="0" w:afterAutospacing="0" w:line="372" w:lineRule="auto"/>
      <w:outlineLvl w:val="3"/>
    </w:pPr>
    <w:rPr>
      <w:rFonts w:ascii="Arial" w:hAnsi="Arial" w:eastAsiaTheme="majorEastAsia"/>
      <w:b/>
      <w:sz w:val="28"/>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6">
    <w:name w:val="annotation text"/>
    <w:basedOn w:val="1"/>
    <w:unhideWhenUsed/>
    <w:qFormat/>
    <w:uiPriority w:val="99"/>
    <w:pPr>
      <w:jc w:val="left"/>
    </w:pPr>
  </w:style>
  <w:style w:type="paragraph" w:styleId="7">
    <w:name w:val="Body Text"/>
    <w:basedOn w:val="1"/>
    <w:qFormat/>
    <w:uiPriority w:val="1"/>
    <w:rPr>
      <w:rFonts w:ascii="宋体" w:hAnsi="宋体" w:eastAsia="宋体" w:cs="宋体"/>
      <w:sz w:val="28"/>
      <w:szCs w:val="28"/>
    </w:rPr>
  </w:style>
  <w:style w:type="paragraph" w:styleId="8">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9">
    <w:name w:val="Balloon Text"/>
    <w:basedOn w:val="1"/>
    <w:qFormat/>
    <w:uiPriority w:val="0"/>
    <w:rPr>
      <w:sz w:val="18"/>
      <w:szCs w:val="18"/>
    </w:rPr>
  </w:style>
  <w:style w:type="paragraph" w:styleId="10">
    <w:name w:val="footer"/>
    <w:basedOn w:val="1"/>
    <w:unhideWhenUsed/>
    <w:qFormat/>
    <w:uiPriority w:val="99"/>
    <w:pPr>
      <w:tabs>
        <w:tab w:val="center" w:pos="4153"/>
        <w:tab w:val="right" w:pos="8306"/>
      </w:tabs>
      <w:snapToGrid w:val="0"/>
      <w:jc w:val="left"/>
    </w:pPr>
    <w:rPr>
      <w:sz w:val="18"/>
    </w:rPr>
  </w:style>
  <w:style w:type="paragraph" w:styleId="11">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widowControl/>
      <w:spacing w:after="100" w:line="259" w:lineRule="auto"/>
      <w:jc w:val="left"/>
    </w:pPr>
    <w:rPr>
      <w:rFonts w:cs="Times New Roman"/>
      <w:kern w:val="0"/>
      <w:sz w:val="44"/>
      <w:szCs w:val="22"/>
    </w:rPr>
  </w:style>
  <w:style w:type="paragraph" w:styleId="13">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14">
    <w:name w:val="Normal (Web)"/>
    <w:basedOn w:val="1"/>
    <w:unhideWhenUsed/>
    <w:qFormat/>
    <w:uiPriority w:val="99"/>
    <w:pPr>
      <w:spacing w:before="0" w:beforeAutospacing="1" w:after="0" w:afterAutospacing="1"/>
      <w:ind w:left="0" w:right="0"/>
      <w:jc w:val="left"/>
    </w:pPr>
    <w:rPr>
      <w:kern w:val="0"/>
      <w:sz w:val="24"/>
      <w:lang w:val="en-US" w:eastAsia="zh-CN"/>
    </w:rPr>
  </w:style>
  <w:style w:type="table" w:styleId="16">
    <w:name w:val="Table Grid"/>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unhideWhenUsed/>
    <w:qFormat/>
    <w:uiPriority w:val="99"/>
    <w:rPr>
      <w:color w:val="0563C1"/>
      <w:u w:val="single"/>
    </w:rPr>
  </w:style>
  <w:style w:type="paragraph" w:customStyle="1" w:styleId="20">
    <w:name w:val="List Paragraph"/>
    <w:basedOn w:val="1"/>
    <w:qFormat/>
    <w:uiPriority w:val="34"/>
    <w:pPr>
      <w:ind w:firstLine="420" w:firstLineChars="200"/>
    </w:pPr>
  </w:style>
  <w:style w:type="paragraph" w:customStyle="1" w:styleId="21">
    <w:name w:val="TOC Heading"/>
    <w:basedOn w:val="2"/>
    <w:next w:val="1"/>
    <w:unhideWhenUsed/>
    <w:qFormat/>
    <w:uiPriority w:val="39"/>
    <w:pPr>
      <w:widowControl/>
      <w:spacing w:before="240" w:after="0" w:line="259" w:lineRule="auto"/>
      <w:jc w:val="left"/>
      <w:outlineLvl w:val="9"/>
    </w:pPr>
    <w:rPr>
      <w:rFonts w:ascii="等线 Light" w:hAnsi="等线 Light" w:eastAsia="等线 Light" w:cs="黑体"/>
      <w:b w:val="0"/>
      <w:bCs w:val="0"/>
      <w:color w:val="2D73B3"/>
      <w:kern w:val="0"/>
      <w:sz w:val="32"/>
      <w:szCs w:val="32"/>
    </w:rPr>
  </w:style>
  <w:style w:type="paragraph" w:customStyle="1" w:styleId="22">
    <w:name w:val="WPSOffice手动目录 1"/>
    <w:qFormat/>
    <w:uiPriority w:val="0"/>
    <w:pPr>
      <w:ind w:leftChars="0"/>
    </w:pPr>
    <w:rPr>
      <w:rFonts w:ascii="等线" w:hAnsi="等线" w:eastAsia="等线" w:cs="黑体"/>
      <w:sz w:val="20"/>
      <w:szCs w:val="20"/>
      <w:lang w:val="en-US" w:eastAsia="zh-CN" w:bidi="ar-SA"/>
    </w:rPr>
  </w:style>
  <w:style w:type="paragraph" w:customStyle="1" w:styleId="23">
    <w:name w:val="Body text|3"/>
    <w:basedOn w:val="1"/>
    <w:qFormat/>
    <w:uiPriority w:val="0"/>
    <w:pPr>
      <w:widowControl w:val="0"/>
      <w:shd w:val="clear" w:color="auto" w:fill="auto"/>
    </w:pPr>
    <w:rPr>
      <w:rFonts w:ascii="宋体" w:hAnsi="宋体" w:eastAsia="宋体" w:cs="宋体"/>
      <w:color w:val="C42C40"/>
      <w:sz w:val="70"/>
      <w:szCs w:val="70"/>
      <w:u w:val="none"/>
      <w:shd w:val="clear" w:color="auto" w:fill="auto"/>
      <w:lang w:val="zh-TW" w:eastAsia="zh-TW" w:bidi="zh-TW"/>
    </w:rPr>
  </w:style>
  <w:style w:type="paragraph" w:customStyle="1" w:styleId="24">
    <w:name w:val="Heading #1|1"/>
    <w:basedOn w:val="1"/>
    <w:qFormat/>
    <w:uiPriority w:val="0"/>
    <w:pPr>
      <w:widowControl w:val="0"/>
      <w:shd w:val="clear" w:color="auto" w:fill="auto"/>
      <w:jc w:val="center"/>
      <w:outlineLvl w:val="0"/>
    </w:pPr>
    <w:rPr>
      <w:color w:val="C42C40"/>
      <w:sz w:val="180"/>
      <w:szCs w:val="180"/>
      <w:u w:val="none"/>
      <w:shd w:val="clear" w:color="auto" w:fill="auto"/>
    </w:rPr>
  </w:style>
  <w:style w:type="paragraph" w:customStyle="1" w:styleId="25">
    <w:name w:val="Body text|1"/>
    <w:basedOn w:val="1"/>
    <w:qFormat/>
    <w:uiPriority w:val="0"/>
    <w:pPr>
      <w:widowControl w:val="0"/>
      <w:shd w:val="clear" w:color="auto" w:fill="auto"/>
      <w:spacing w:line="394" w:lineRule="auto"/>
      <w:ind w:firstLine="400"/>
    </w:pPr>
    <w:rPr>
      <w:rFonts w:ascii="宋体" w:hAnsi="宋体" w:eastAsia="宋体" w:cs="宋体"/>
      <w:sz w:val="30"/>
      <w:szCs w:val="30"/>
      <w:u w:val="none"/>
      <w:shd w:val="clear" w:color="auto" w:fill="auto"/>
      <w:lang w:val="zh-TW" w:eastAsia="zh-TW" w:bidi="zh-TW"/>
    </w:rPr>
  </w:style>
  <w:style w:type="paragraph" w:customStyle="1" w:styleId="26">
    <w:name w:val="Body text|2"/>
    <w:basedOn w:val="1"/>
    <w:qFormat/>
    <w:uiPriority w:val="0"/>
    <w:pPr>
      <w:widowControl w:val="0"/>
      <w:shd w:val="clear" w:color="auto" w:fill="auto"/>
      <w:spacing w:after="540" w:line="605" w:lineRule="exact"/>
      <w:jc w:val="center"/>
    </w:pPr>
    <w:rPr>
      <w:rFonts w:ascii="宋体" w:hAnsi="宋体" w:eastAsia="宋体" w:cs="宋体"/>
      <w:sz w:val="42"/>
      <w:szCs w:val="42"/>
      <w:u w:val="none"/>
      <w:shd w:val="clear" w:color="auto" w:fill="auto"/>
      <w:lang w:val="zh-TW" w:eastAsia="zh-TW" w:bidi="zh-TW"/>
    </w:rPr>
  </w:style>
  <w:style w:type="paragraph" w:customStyle="1" w:styleId="27">
    <w:name w:val="Body text|4"/>
    <w:basedOn w:val="1"/>
    <w:qFormat/>
    <w:uiPriority w:val="0"/>
    <w:pPr>
      <w:widowControl w:val="0"/>
      <w:shd w:val="clear" w:color="auto" w:fill="auto"/>
      <w:spacing w:before="220" w:after="60"/>
      <w:ind w:firstLine="300"/>
    </w:pPr>
    <w:rPr>
      <w:sz w:val="32"/>
      <w:szCs w:val="32"/>
      <w:u w:val="none"/>
      <w:shd w:val="clear" w:color="auto" w:fill="auto"/>
      <w:lang w:val="zh-TW" w:eastAsia="zh-TW" w:bidi="zh-TW"/>
    </w:rPr>
  </w:style>
  <w:style w:type="paragraph" w:customStyle="1" w:styleId="28">
    <w:name w:val="Heading #2|1"/>
    <w:basedOn w:val="1"/>
    <w:qFormat/>
    <w:uiPriority w:val="0"/>
    <w:pPr>
      <w:widowControl w:val="0"/>
      <w:shd w:val="clear" w:color="auto" w:fill="auto"/>
      <w:spacing w:after="320" w:line="653" w:lineRule="exact"/>
      <w:jc w:val="center"/>
      <w:outlineLvl w:val="1"/>
    </w:pPr>
    <w:rPr>
      <w:rFonts w:ascii="宋体" w:hAnsi="宋体" w:eastAsia="宋体" w:cs="宋体"/>
      <w:sz w:val="42"/>
      <w:szCs w:val="42"/>
      <w:u w:val="none"/>
      <w:shd w:val="clear" w:color="auto" w:fill="auto"/>
      <w:lang w:val="zh-TW" w:eastAsia="zh-TW" w:bidi="zh-TW"/>
    </w:rPr>
  </w:style>
  <w:style w:type="paragraph" w:customStyle="1" w:styleId="29">
    <w:name w:val="Other|1"/>
    <w:basedOn w:val="1"/>
    <w:qFormat/>
    <w:uiPriority w:val="0"/>
    <w:pPr>
      <w:widowControl w:val="0"/>
      <w:shd w:val="clear" w:color="auto" w:fill="auto"/>
      <w:spacing w:line="394" w:lineRule="auto"/>
      <w:ind w:firstLine="400"/>
    </w:pPr>
    <w:rPr>
      <w:rFonts w:ascii="宋体" w:hAnsi="宋体" w:eastAsia="宋体" w:cs="宋体"/>
      <w:sz w:val="30"/>
      <w:szCs w:val="30"/>
      <w:u w:val="none"/>
      <w:shd w:val="clear" w:color="auto" w:fill="auto"/>
      <w:lang w:val="zh-TW" w:eastAsia="zh-TW" w:bidi="zh-TW"/>
    </w:rPr>
  </w:style>
  <w:style w:type="character" w:customStyle="1" w:styleId="30">
    <w:name w:val="标题 1 字符"/>
    <w:basedOn w:val="17"/>
    <w:link w:val="2"/>
    <w:qFormat/>
    <w:uiPriority w:val="9"/>
    <w:rPr>
      <w:b/>
      <w:bCs/>
      <w:kern w:val="44"/>
      <w:sz w:val="44"/>
      <w:szCs w:val="44"/>
    </w:rPr>
  </w:style>
  <w:style w:type="table" w:customStyle="1" w:styleId="31">
    <w:name w:val="Table Normal"/>
    <w:unhideWhenUsed/>
    <w:qFormat/>
    <w:uiPriority w:val="0"/>
    <w:tblPr>
      <w:tblCellMar>
        <w:top w:w="0" w:type="dxa"/>
        <w:left w:w="0" w:type="dxa"/>
        <w:bottom w:w="0" w:type="dxa"/>
        <w:right w:w="0" w:type="dxa"/>
      </w:tblCellMar>
    </w:tblPr>
  </w:style>
  <w:style w:type="paragraph" w:customStyle="1" w:styleId="32">
    <w:name w:val="p0"/>
    <w:basedOn w:val="1"/>
    <w:qFormat/>
    <w:uiPriority w:val="0"/>
    <w:pPr>
      <w:widowControl/>
    </w:pPr>
    <w:rPr>
      <w:rFonts w:ascii="Calibri" w:hAnsi="Calibri" w:cs="宋体"/>
      <w:szCs w:val="21"/>
    </w:rPr>
  </w:style>
  <w:style w:type="paragraph" w:customStyle="1" w:styleId="33">
    <w:name w:val="Table Text"/>
    <w:basedOn w:val="1"/>
    <w:semiHidden/>
    <w:qFormat/>
    <w:uiPriority w:val="0"/>
    <w:rPr>
      <w:rFonts w:ascii="Cambria Math" w:hAnsi="Cambria Math" w:eastAsia="Cambria Math" w:cs="Cambria Math"/>
      <w:sz w:val="22"/>
      <w:szCs w:val="22"/>
      <w:lang w:val="en-US" w:eastAsia="en-US" w:bidi="ar-SA"/>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character" w:customStyle="1" w:styleId="35">
    <w:name w:val="标题 4 Char"/>
    <w:link w:val="5"/>
    <w:qFormat/>
    <w:uiPriority w:val="0"/>
    <w:rPr>
      <w:rFonts w:ascii="Arial" w:hAnsi="Arial" w:eastAsiaTheme="majorEastAsia"/>
      <w:b/>
      <w:sz w:val="28"/>
    </w:rPr>
  </w:style>
  <w:style w:type="character" w:customStyle="1" w:styleId="36">
    <w:name w:val="标题 3 Char"/>
    <w:link w:val="4"/>
    <w:qFormat/>
    <w:uiPriority w:val="9"/>
    <w:rPr>
      <w:rFonts w:eastAsiaTheme="majorEastAsia"/>
      <w:b/>
      <w:sz w:val="24"/>
    </w:rPr>
  </w:style>
  <w:style w:type="character" w:customStyle="1" w:styleId="37">
    <w:name w:val="标题 2 Char"/>
    <w:link w:val="3"/>
    <w:qFormat/>
    <w:uiPriority w:val="9"/>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3.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textRotate="1"/>
    <customShpInfo spid="_x0000_s2057" textRotate="1"/>
    <customShpInfo spid="_x0000_s2052"/>
    <customShpInfo spid="_x0000_s2051"/>
    <customShpInfo spid="_x0000_s2053"/>
    <customShpInfo spid="_x0000_s2054"/>
    <customShpInfo spid="_x0000_s2055"/>
    <customShpInfo spid="_x0000_s2060" textRotate="1"/>
    <customShpInfo spid="_x0000_s2056"/>
    <customShpInfo spid="_x0000_s1035"/>
    <customShpInfo spid="_x0000_s1036"/>
    <customShpInfo spid="_x0000_s1037"/>
    <customShpInfo spid="_x0000_s1052"/>
    <customShpInfo spid="_x0000_s1051"/>
    <customShpInfo spid="_x0000_s1053"/>
    <customShpInfo spid="_x0000_s1044" textRotate="1"/>
    <customShpInfo spid="_x0000_s1060"/>
    <customShpInfo spid="_x0000_s1074"/>
    <customShpInfo spid="_x0000_s1075"/>
    <customShpInfo spid="_x0000_s1076"/>
    <customShpInfo spid="_x0000_s1077"/>
    <customShpInfo spid="_x0000_s1078"/>
    <customShpInfo spid="_x0000_s1079"/>
    <customShpInfo spid="_x0000_s1080"/>
    <customShpInfo spid="_x0000_s1086"/>
    <customShpInfo spid="_x0000_s104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42648</Words>
  <Characters>45709</Characters>
  <Lines>126</Lines>
  <Paragraphs>35</Paragraphs>
  <TotalTime>81</TotalTime>
  <ScaleCrop>false</ScaleCrop>
  <LinksUpToDate>false</LinksUpToDate>
  <CharactersWithSpaces>46701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2023-08-10T01:34:00Z</dcterms:created>
  <dc:creator>SL</dc:creator>
  <cp:lastModifiedBy>丁梅</cp:lastModifiedBy>
  <cp:lastPrinted>2024-01-12T01:47:00Z</cp:lastPrinted>
  <dcterms:modified xsi:type="dcterms:W3CDTF">2024-07-10T09:20:47Z</dcterms:modified>
  <dc:title>医 保 政 策 篇</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02D8A843D4DD479FA8CB690F06E83A0D</vt:lpwstr>
  </property>
</Properties>
</file>